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pPr>
      <w:bookmarkStart w:id="0" w:name="_Toc6583"/>
    </w:p>
    <w:p>
      <w:pPr>
        <w:pStyle w:val="40"/>
      </w:pPr>
    </w:p>
    <w:p>
      <w:pPr>
        <w:pStyle w:val="40"/>
      </w:pPr>
    </w:p>
    <w:p>
      <w:pPr>
        <w:pStyle w:val="40"/>
        <w:jc w:val="center"/>
        <w:rPr>
          <w:b/>
          <w:bCs/>
          <w:sz w:val="52"/>
          <w:szCs w:val="48"/>
        </w:rPr>
      </w:pPr>
      <w:r>
        <w:rPr>
          <w:rFonts w:hint="eastAsia"/>
          <w:b/>
          <w:bCs/>
          <w:sz w:val="52"/>
          <w:szCs w:val="48"/>
        </w:rPr>
        <w:t>基于RBRVS的绩效管理咨询服务及配</w:t>
      </w:r>
      <w:bookmarkStart w:id="47" w:name="_GoBack"/>
      <w:bookmarkEnd w:id="47"/>
      <w:r>
        <w:rPr>
          <w:rFonts w:hint="eastAsia"/>
          <w:b/>
          <w:bCs/>
          <w:sz w:val="52"/>
          <w:szCs w:val="48"/>
        </w:rPr>
        <w:t>套软件系统项目</w:t>
      </w:r>
    </w:p>
    <w:p>
      <w:pPr>
        <w:pStyle w:val="40"/>
        <w:jc w:val="center"/>
        <w:rPr>
          <w:b/>
          <w:bCs/>
          <w:sz w:val="48"/>
          <w:szCs w:val="44"/>
        </w:rPr>
      </w:pPr>
      <w:r>
        <w:rPr>
          <w:rFonts w:hint="eastAsia"/>
          <w:b/>
          <w:bCs/>
          <w:sz w:val="72"/>
          <w:szCs w:val="56"/>
        </w:rPr>
        <w:t>技术参数</w:t>
      </w:r>
    </w:p>
    <w:p>
      <w:pPr>
        <w:pStyle w:val="40"/>
        <w:jc w:val="center"/>
        <w:rPr>
          <w:b/>
          <w:bCs/>
          <w:sz w:val="48"/>
          <w:szCs w:val="44"/>
        </w:rPr>
      </w:pPr>
    </w:p>
    <w:p>
      <w:pPr>
        <w:pStyle w:val="40"/>
        <w:jc w:val="center"/>
        <w:rPr>
          <w:b/>
          <w:bCs/>
          <w:sz w:val="48"/>
          <w:szCs w:val="44"/>
        </w:rPr>
      </w:pPr>
    </w:p>
    <w:p>
      <w:pPr>
        <w:pStyle w:val="40"/>
        <w:jc w:val="center"/>
        <w:rPr>
          <w:b/>
          <w:bCs/>
          <w:sz w:val="48"/>
          <w:szCs w:val="44"/>
        </w:rPr>
      </w:pPr>
    </w:p>
    <w:p>
      <w:pPr>
        <w:pStyle w:val="40"/>
        <w:jc w:val="center"/>
        <w:rPr>
          <w:b/>
          <w:bCs/>
          <w:sz w:val="48"/>
          <w:szCs w:val="44"/>
        </w:rPr>
      </w:pPr>
    </w:p>
    <w:p>
      <w:pPr>
        <w:pStyle w:val="40"/>
        <w:jc w:val="center"/>
        <w:rPr>
          <w:b/>
          <w:bCs/>
          <w:sz w:val="48"/>
          <w:szCs w:val="44"/>
        </w:rPr>
      </w:pPr>
    </w:p>
    <w:p>
      <w:pPr>
        <w:pStyle w:val="40"/>
        <w:jc w:val="center"/>
        <w:rPr>
          <w:b/>
          <w:bCs/>
          <w:sz w:val="48"/>
          <w:szCs w:val="44"/>
        </w:rPr>
      </w:pPr>
    </w:p>
    <w:p>
      <w:pPr>
        <w:pStyle w:val="40"/>
        <w:jc w:val="center"/>
        <w:rPr>
          <w:b/>
          <w:bCs/>
          <w:sz w:val="48"/>
          <w:szCs w:val="44"/>
        </w:rPr>
      </w:pPr>
    </w:p>
    <w:p>
      <w:pPr>
        <w:pStyle w:val="40"/>
        <w:jc w:val="center"/>
        <w:rPr>
          <w:b/>
          <w:bCs/>
          <w:sz w:val="48"/>
          <w:szCs w:val="44"/>
        </w:rPr>
      </w:pPr>
    </w:p>
    <w:p>
      <w:pPr>
        <w:pStyle w:val="40"/>
        <w:jc w:val="center"/>
        <w:rPr>
          <w:b/>
          <w:bCs/>
          <w:sz w:val="48"/>
          <w:szCs w:val="44"/>
        </w:rPr>
      </w:pPr>
    </w:p>
    <w:p>
      <w:pPr>
        <w:widowControl/>
        <w:spacing w:line="240" w:lineRule="auto"/>
        <w:ind w:firstLine="0" w:firstLineChars="0"/>
        <w:jc w:val="center"/>
        <w:rPr>
          <w:rFonts w:eastAsiaTheme="majorEastAsia"/>
          <w:b/>
          <w:bCs/>
          <w:kern w:val="44"/>
          <w:sz w:val="32"/>
          <w:szCs w:val="44"/>
        </w:rPr>
      </w:pPr>
      <w:r>
        <w:rPr>
          <w:rFonts w:hint="eastAsia"/>
          <w:b/>
          <w:bCs/>
          <w:sz w:val="48"/>
          <w:szCs w:val="44"/>
        </w:rPr>
        <w:t>2</w:t>
      </w:r>
      <w:r>
        <w:rPr>
          <w:b/>
          <w:bCs/>
          <w:sz w:val="48"/>
          <w:szCs w:val="44"/>
        </w:rPr>
        <w:t>024</w:t>
      </w:r>
      <w:r>
        <w:rPr>
          <w:rFonts w:hint="eastAsia"/>
          <w:b/>
          <w:bCs/>
          <w:sz w:val="48"/>
          <w:szCs w:val="44"/>
        </w:rPr>
        <w:t>年</w:t>
      </w:r>
      <w:r>
        <w:rPr>
          <w:b/>
          <w:bCs/>
          <w:sz w:val="48"/>
          <w:szCs w:val="44"/>
        </w:rPr>
        <w:t>0</w:t>
      </w:r>
      <w:r>
        <w:rPr>
          <w:rFonts w:hint="eastAsia"/>
          <w:b/>
          <w:bCs/>
          <w:sz w:val="48"/>
          <w:szCs w:val="44"/>
          <w:lang w:val="en-US" w:eastAsia="zh-CN"/>
        </w:rPr>
        <w:t>4</w:t>
      </w:r>
      <w:r>
        <w:rPr>
          <w:rFonts w:hint="eastAsia"/>
          <w:b/>
          <w:bCs/>
          <w:sz w:val="48"/>
          <w:szCs w:val="44"/>
        </w:rPr>
        <w:t>月</w:t>
      </w:r>
      <w:r>
        <w:br w:type="page"/>
      </w:r>
    </w:p>
    <w:p>
      <w:pPr>
        <w:pStyle w:val="40"/>
        <w:spacing w:line="240" w:lineRule="auto"/>
        <w:jc w:val="center"/>
        <w:rPr>
          <w:rFonts w:hint="eastAsia" w:ascii="仿宋" w:hAnsi="仿宋" w:eastAsia="仿宋" w:cs="仿宋"/>
          <w:b/>
          <w:bCs/>
          <w:sz w:val="44"/>
          <w:szCs w:val="44"/>
        </w:rPr>
      </w:pPr>
      <w:r>
        <w:rPr>
          <w:rFonts w:hint="eastAsia" w:ascii="黑体" w:hAnsi="黑体" w:eastAsia="黑体" w:cs="黑体"/>
          <w:b/>
          <w:bCs/>
          <w:sz w:val="48"/>
          <w:szCs w:val="48"/>
        </w:rPr>
        <w:t>目录</w:t>
      </w:r>
    </w:p>
    <w:p>
      <w:pPr>
        <w:pStyle w:val="22"/>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TOC \o "1-3" \h \z \u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_Toc23239 </w:instrText>
      </w:r>
      <w:r>
        <w:rPr>
          <w:rFonts w:hint="eastAsia" w:ascii="仿宋" w:hAnsi="仿宋" w:eastAsia="仿宋" w:cs="仿宋"/>
          <w:sz w:val="28"/>
          <w:szCs w:val="28"/>
          <w:highlight w:val="none"/>
        </w:rPr>
        <w:fldChar w:fldCharType="separate"/>
      </w:r>
      <w:r>
        <w:rPr>
          <w:rFonts w:hint="eastAsia" w:ascii="黑体" w:hAnsi="黑体" w:eastAsia="黑体" w:cs="黑体"/>
          <w:bCs w:val="0"/>
          <w:sz w:val="28"/>
          <w:szCs w:val="28"/>
          <w:highlight w:val="none"/>
          <w:lang w:val="en-US" w:eastAsia="zh-CN"/>
        </w:rPr>
        <w:t>一、项目内容及数量</w:t>
      </w:r>
      <w:r>
        <w:rPr>
          <w:sz w:val="28"/>
          <w:szCs w:val="28"/>
        </w:rPr>
        <w:tab/>
      </w:r>
      <w:r>
        <w:rPr>
          <w:sz w:val="28"/>
          <w:szCs w:val="28"/>
        </w:rPr>
        <w:fldChar w:fldCharType="begin"/>
      </w:r>
      <w:r>
        <w:rPr>
          <w:sz w:val="28"/>
          <w:szCs w:val="28"/>
        </w:rPr>
        <w:instrText xml:space="preserve"> PAGEREF _Toc23239 \h </w:instrText>
      </w:r>
      <w:r>
        <w:rPr>
          <w:sz w:val="28"/>
          <w:szCs w:val="28"/>
        </w:rPr>
        <w:fldChar w:fldCharType="separate"/>
      </w:r>
      <w:r>
        <w:rPr>
          <w:sz w:val="28"/>
          <w:szCs w:val="28"/>
        </w:rPr>
        <w:t>1</w:t>
      </w:r>
      <w:r>
        <w:rPr>
          <w:sz w:val="28"/>
          <w:szCs w:val="28"/>
        </w:rPr>
        <w:fldChar w:fldCharType="end"/>
      </w:r>
      <w:r>
        <w:rPr>
          <w:rFonts w:hint="eastAsia" w:ascii="仿宋" w:hAnsi="仿宋" w:eastAsia="仿宋" w:cs="仿宋"/>
          <w:sz w:val="28"/>
          <w:szCs w:val="28"/>
          <w:highlight w:val="none"/>
        </w:rPr>
        <w:fldChar w:fldCharType="end"/>
      </w:r>
    </w:p>
    <w:p>
      <w:pPr>
        <w:pStyle w:val="22"/>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_Toc12391 </w:instrText>
      </w:r>
      <w:r>
        <w:rPr>
          <w:rFonts w:hint="eastAsia" w:ascii="仿宋" w:hAnsi="仿宋" w:eastAsia="仿宋" w:cs="仿宋"/>
          <w:sz w:val="28"/>
          <w:szCs w:val="28"/>
          <w:highlight w:val="none"/>
        </w:rPr>
        <w:fldChar w:fldCharType="separate"/>
      </w:r>
      <w:r>
        <w:rPr>
          <w:rFonts w:hint="eastAsia" w:ascii="黑体" w:hAnsi="黑体" w:eastAsia="黑体" w:cs="黑体"/>
          <w:bCs w:val="0"/>
          <w:sz w:val="28"/>
          <w:szCs w:val="28"/>
          <w:highlight w:val="none"/>
          <w:lang w:val="en-US" w:eastAsia="zh-CN"/>
        </w:rPr>
        <w:t>二、建设原则</w:t>
      </w:r>
      <w:r>
        <w:rPr>
          <w:sz w:val="28"/>
          <w:szCs w:val="28"/>
        </w:rPr>
        <w:tab/>
      </w:r>
      <w:r>
        <w:rPr>
          <w:sz w:val="28"/>
          <w:szCs w:val="28"/>
        </w:rPr>
        <w:fldChar w:fldCharType="begin"/>
      </w:r>
      <w:r>
        <w:rPr>
          <w:sz w:val="28"/>
          <w:szCs w:val="28"/>
        </w:rPr>
        <w:instrText xml:space="preserve"> PAGEREF _Toc12391 \h </w:instrText>
      </w:r>
      <w:r>
        <w:rPr>
          <w:sz w:val="28"/>
          <w:szCs w:val="28"/>
        </w:rPr>
        <w:fldChar w:fldCharType="separate"/>
      </w:r>
      <w:r>
        <w:rPr>
          <w:sz w:val="28"/>
          <w:szCs w:val="28"/>
        </w:rPr>
        <w:t>2</w:t>
      </w:r>
      <w:r>
        <w:rPr>
          <w:sz w:val="28"/>
          <w:szCs w:val="28"/>
        </w:rPr>
        <w:fldChar w:fldCharType="end"/>
      </w:r>
      <w:r>
        <w:rPr>
          <w:rFonts w:hint="eastAsia" w:ascii="仿宋" w:hAnsi="仿宋" w:eastAsia="仿宋" w:cs="仿宋"/>
          <w:sz w:val="28"/>
          <w:szCs w:val="28"/>
          <w:highlight w:val="none"/>
        </w:rPr>
        <w:fldChar w:fldCharType="end"/>
      </w:r>
    </w:p>
    <w:p>
      <w:pPr>
        <w:pStyle w:val="22"/>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_Toc29228 </w:instrText>
      </w:r>
      <w:r>
        <w:rPr>
          <w:rFonts w:hint="eastAsia" w:ascii="仿宋" w:hAnsi="仿宋" w:eastAsia="仿宋" w:cs="仿宋"/>
          <w:sz w:val="28"/>
          <w:szCs w:val="28"/>
          <w:highlight w:val="none"/>
        </w:rPr>
        <w:fldChar w:fldCharType="separate"/>
      </w:r>
      <w:r>
        <w:rPr>
          <w:rFonts w:hint="eastAsia" w:ascii="黑体" w:hAnsi="黑体" w:eastAsia="黑体" w:cs="黑体"/>
          <w:bCs w:val="0"/>
          <w:sz w:val="28"/>
          <w:szCs w:val="28"/>
          <w:highlight w:val="none"/>
          <w:lang w:val="en-US" w:eastAsia="zh-CN"/>
        </w:rPr>
        <w:t>三、医院绩效咨询服务具体要求</w:t>
      </w:r>
      <w:r>
        <w:rPr>
          <w:sz w:val="28"/>
          <w:szCs w:val="28"/>
        </w:rPr>
        <w:tab/>
      </w:r>
      <w:r>
        <w:rPr>
          <w:sz w:val="28"/>
          <w:szCs w:val="28"/>
        </w:rPr>
        <w:fldChar w:fldCharType="begin"/>
      </w:r>
      <w:r>
        <w:rPr>
          <w:sz w:val="28"/>
          <w:szCs w:val="28"/>
        </w:rPr>
        <w:instrText xml:space="preserve"> PAGEREF _Toc29228 \h </w:instrText>
      </w:r>
      <w:r>
        <w:rPr>
          <w:sz w:val="28"/>
          <w:szCs w:val="28"/>
        </w:rPr>
        <w:fldChar w:fldCharType="separate"/>
      </w:r>
      <w:r>
        <w:rPr>
          <w:sz w:val="28"/>
          <w:szCs w:val="28"/>
        </w:rPr>
        <w:t>3</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_Toc29923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.1整体要求</w:t>
      </w:r>
      <w:r>
        <w:rPr>
          <w:sz w:val="28"/>
          <w:szCs w:val="28"/>
        </w:rPr>
        <w:tab/>
      </w:r>
      <w:r>
        <w:rPr>
          <w:sz w:val="28"/>
          <w:szCs w:val="28"/>
        </w:rPr>
        <w:fldChar w:fldCharType="begin"/>
      </w:r>
      <w:r>
        <w:rPr>
          <w:sz w:val="28"/>
          <w:szCs w:val="28"/>
        </w:rPr>
        <w:instrText xml:space="preserve"> PAGEREF _Toc29923 \h </w:instrText>
      </w:r>
      <w:r>
        <w:rPr>
          <w:sz w:val="28"/>
          <w:szCs w:val="28"/>
        </w:rPr>
        <w:fldChar w:fldCharType="separate"/>
      </w:r>
      <w:r>
        <w:rPr>
          <w:sz w:val="28"/>
          <w:szCs w:val="28"/>
        </w:rPr>
        <w:t>3</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_Toc9433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.2临床医生、临床护理、医技科室绩效考核方案设计</w:t>
      </w:r>
      <w:r>
        <w:rPr>
          <w:sz w:val="28"/>
          <w:szCs w:val="28"/>
        </w:rPr>
        <w:tab/>
      </w:r>
      <w:r>
        <w:rPr>
          <w:sz w:val="28"/>
          <w:szCs w:val="28"/>
        </w:rPr>
        <w:fldChar w:fldCharType="begin"/>
      </w:r>
      <w:r>
        <w:rPr>
          <w:sz w:val="28"/>
          <w:szCs w:val="28"/>
        </w:rPr>
        <w:instrText xml:space="preserve"> PAGEREF _Toc9433 \h </w:instrText>
      </w:r>
      <w:r>
        <w:rPr>
          <w:sz w:val="28"/>
          <w:szCs w:val="28"/>
        </w:rPr>
        <w:fldChar w:fldCharType="separate"/>
      </w:r>
      <w:r>
        <w:rPr>
          <w:sz w:val="28"/>
          <w:szCs w:val="28"/>
        </w:rPr>
        <w:t>4</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ind w:left="797" w:leftChars="332" w:firstLine="0" w:firstLineChars="0"/>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_Toc31761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.3客户服务部（门诊部）、体检部、财务部（含挂号收费）、出住院处、药学部、消毒供应室、高压氧科、静配中心、内镜室等辅助类科室绩效评价方案设计</w:t>
      </w:r>
      <w:r>
        <w:rPr>
          <w:sz w:val="28"/>
          <w:szCs w:val="28"/>
        </w:rPr>
        <w:tab/>
      </w:r>
      <w:r>
        <w:rPr>
          <w:sz w:val="28"/>
          <w:szCs w:val="28"/>
        </w:rPr>
        <w:fldChar w:fldCharType="begin"/>
      </w:r>
      <w:r>
        <w:rPr>
          <w:sz w:val="28"/>
          <w:szCs w:val="28"/>
        </w:rPr>
        <w:instrText xml:space="preserve"> PAGEREF _Toc31761 \h </w:instrText>
      </w:r>
      <w:r>
        <w:rPr>
          <w:sz w:val="28"/>
          <w:szCs w:val="28"/>
        </w:rPr>
        <w:fldChar w:fldCharType="separate"/>
      </w:r>
      <w:r>
        <w:rPr>
          <w:sz w:val="28"/>
          <w:szCs w:val="28"/>
        </w:rPr>
        <w:t>5</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_Toc21200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.4科室直接成本管控方案设计</w:t>
      </w:r>
      <w:r>
        <w:rPr>
          <w:sz w:val="28"/>
          <w:szCs w:val="28"/>
        </w:rPr>
        <w:tab/>
      </w:r>
      <w:r>
        <w:rPr>
          <w:sz w:val="28"/>
          <w:szCs w:val="28"/>
        </w:rPr>
        <w:fldChar w:fldCharType="begin"/>
      </w:r>
      <w:r>
        <w:rPr>
          <w:sz w:val="28"/>
          <w:szCs w:val="28"/>
        </w:rPr>
        <w:instrText xml:space="preserve"> PAGEREF _Toc21200 \h </w:instrText>
      </w:r>
      <w:r>
        <w:rPr>
          <w:sz w:val="28"/>
          <w:szCs w:val="28"/>
        </w:rPr>
        <w:fldChar w:fldCharType="separate"/>
      </w:r>
      <w:r>
        <w:rPr>
          <w:sz w:val="28"/>
          <w:szCs w:val="28"/>
        </w:rPr>
        <w:t>5</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_Toc17488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.5 DIP绩效方案设计</w:t>
      </w:r>
      <w:r>
        <w:rPr>
          <w:sz w:val="28"/>
          <w:szCs w:val="28"/>
        </w:rPr>
        <w:tab/>
      </w:r>
      <w:r>
        <w:rPr>
          <w:sz w:val="28"/>
          <w:szCs w:val="28"/>
        </w:rPr>
        <w:fldChar w:fldCharType="begin"/>
      </w:r>
      <w:r>
        <w:rPr>
          <w:sz w:val="28"/>
          <w:szCs w:val="28"/>
        </w:rPr>
        <w:instrText xml:space="preserve"> PAGEREF _Toc17488 \h </w:instrText>
      </w:r>
      <w:r>
        <w:rPr>
          <w:sz w:val="28"/>
          <w:szCs w:val="28"/>
        </w:rPr>
        <w:fldChar w:fldCharType="separate"/>
      </w:r>
      <w:r>
        <w:rPr>
          <w:sz w:val="28"/>
          <w:szCs w:val="28"/>
        </w:rPr>
        <w:t>5</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_Toc11718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.6三级公立医院绩效考核方案设计</w:t>
      </w:r>
      <w:r>
        <w:rPr>
          <w:sz w:val="28"/>
          <w:szCs w:val="28"/>
        </w:rPr>
        <w:tab/>
      </w:r>
      <w:r>
        <w:rPr>
          <w:sz w:val="28"/>
          <w:szCs w:val="28"/>
        </w:rPr>
        <w:fldChar w:fldCharType="begin"/>
      </w:r>
      <w:r>
        <w:rPr>
          <w:sz w:val="28"/>
          <w:szCs w:val="28"/>
        </w:rPr>
        <w:instrText xml:space="preserve"> PAGEREF _Toc11718 \h </w:instrText>
      </w:r>
      <w:r>
        <w:rPr>
          <w:sz w:val="28"/>
          <w:szCs w:val="28"/>
        </w:rPr>
        <w:fldChar w:fldCharType="separate"/>
      </w:r>
      <w:r>
        <w:rPr>
          <w:sz w:val="28"/>
          <w:szCs w:val="28"/>
        </w:rPr>
        <w:t>6</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_Toc6642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.7 KPI关键考核指标方案设计</w:t>
      </w:r>
      <w:r>
        <w:rPr>
          <w:sz w:val="28"/>
          <w:szCs w:val="28"/>
        </w:rPr>
        <w:tab/>
      </w:r>
      <w:r>
        <w:rPr>
          <w:sz w:val="28"/>
          <w:szCs w:val="28"/>
        </w:rPr>
        <w:fldChar w:fldCharType="begin"/>
      </w:r>
      <w:r>
        <w:rPr>
          <w:sz w:val="28"/>
          <w:szCs w:val="28"/>
        </w:rPr>
        <w:instrText xml:space="preserve"> PAGEREF _Toc6642 \h </w:instrText>
      </w:r>
      <w:r>
        <w:rPr>
          <w:sz w:val="28"/>
          <w:szCs w:val="28"/>
        </w:rPr>
        <w:fldChar w:fldCharType="separate"/>
      </w:r>
      <w:r>
        <w:rPr>
          <w:sz w:val="28"/>
          <w:szCs w:val="28"/>
        </w:rPr>
        <w:t>6</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_Toc29811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.8科室二次分配指导意见方案设计</w:t>
      </w:r>
      <w:r>
        <w:rPr>
          <w:sz w:val="28"/>
          <w:szCs w:val="28"/>
        </w:rPr>
        <w:tab/>
      </w:r>
      <w:r>
        <w:rPr>
          <w:sz w:val="28"/>
          <w:szCs w:val="28"/>
        </w:rPr>
        <w:fldChar w:fldCharType="begin"/>
      </w:r>
      <w:r>
        <w:rPr>
          <w:sz w:val="28"/>
          <w:szCs w:val="28"/>
        </w:rPr>
        <w:instrText xml:space="preserve"> PAGEREF _Toc29811 \h </w:instrText>
      </w:r>
      <w:r>
        <w:rPr>
          <w:sz w:val="28"/>
          <w:szCs w:val="28"/>
        </w:rPr>
        <w:fldChar w:fldCharType="separate"/>
      </w:r>
      <w:r>
        <w:rPr>
          <w:sz w:val="28"/>
          <w:szCs w:val="28"/>
        </w:rPr>
        <w:t>6</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_Toc32211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.9行管后勤科室绩效方案设计</w:t>
      </w:r>
      <w:r>
        <w:rPr>
          <w:sz w:val="28"/>
          <w:szCs w:val="28"/>
        </w:rPr>
        <w:tab/>
      </w:r>
      <w:r>
        <w:rPr>
          <w:sz w:val="28"/>
          <w:szCs w:val="28"/>
        </w:rPr>
        <w:fldChar w:fldCharType="begin"/>
      </w:r>
      <w:r>
        <w:rPr>
          <w:sz w:val="28"/>
          <w:szCs w:val="28"/>
        </w:rPr>
        <w:instrText xml:space="preserve"> PAGEREF _Toc32211 \h </w:instrText>
      </w:r>
      <w:r>
        <w:rPr>
          <w:sz w:val="28"/>
          <w:szCs w:val="28"/>
        </w:rPr>
        <w:fldChar w:fldCharType="separate"/>
      </w:r>
      <w:r>
        <w:rPr>
          <w:sz w:val="28"/>
          <w:szCs w:val="28"/>
        </w:rPr>
        <w:t>7</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_Toc30012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3.10科研、教学、学科建设等专项绩效方案设计</w:t>
      </w:r>
      <w:r>
        <w:rPr>
          <w:sz w:val="28"/>
          <w:szCs w:val="28"/>
        </w:rPr>
        <w:tab/>
      </w:r>
      <w:r>
        <w:rPr>
          <w:sz w:val="28"/>
          <w:szCs w:val="28"/>
        </w:rPr>
        <w:fldChar w:fldCharType="begin"/>
      </w:r>
      <w:r>
        <w:rPr>
          <w:sz w:val="28"/>
          <w:szCs w:val="28"/>
        </w:rPr>
        <w:instrText xml:space="preserve"> PAGEREF _Toc30012 \h </w:instrText>
      </w:r>
      <w:r>
        <w:rPr>
          <w:sz w:val="28"/>
          <w:szCs w:val="28"/>
        </w:rPr>
        <w:fldChar w:fldCharType="separate"/>
      </w:r>
      <w:r>
        <w:rPr>
          <w:sz w:val="28"/>
          <w:szCs w:val="28"/>
        </w:rPr>
        <w:t>7</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_Toc31187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3.11手术专项绩效评价方案设计</w:t>
      </w:r>
      <w:r>
        <w:rPr>
          <w:sz w:val="28"/>
          <w:szCs w:val="28"/>
        </w:rPr>
        <w:tab/>
      </w:r>
      <w:r>
        <w:rPr>
          <w:sz w:val="28"/>
          <w:szCs w:val="28"/>
        </w:rPr>
        <w:fldChar w:fldCharType="begin"/>
      </w:r>
      <w:r>
        <w:rPr>
          <w:sz w:val="28"/>
          <w:szCs w:val="28"/>
        </w:rPr>
        <w:instrText xml:space="preserve"> PAGEREF _Toc31187 \h </w:instrText>
      </w:r>
      <w:r>
        <w:rPr>
          <w:sz w:val="28"/>
          <w:szCs w:val="28"/>
        </w:rPr>
        <w:fldChar w:fldCharType="separate"/>
      </w:r>
      <w:r>
        <w:rPr>
          <w:sz w:val="28"/>
          <w:szCs w:val="28"/>
        </w:rPr>
        <w:t>8</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_Toc31564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3.12新项目、新技术专项绩效方案设计</w:t>
      </w:r>
      <w:r>
        <w:rPr>
          <w:sz w:val="28"/>
          <w:szCs w:val="28"/>
        </w:rPr>
        <w:tab/>
      </w:r>
      <w:r>
        <w:rPr>
          <w:sz w:val="28"/>
          <w:szCs w:val="28"/>
        </w:rPr>
        <w:fldChar w:fldCharType="begin"/>
      </w:r>
      <w:r>
        <w:rPr>
          <w:sz w:val="28"/>
          <w:szCs w:val="28"/>
        </w:rPr>
        <w:instrText xml:space="preserve"> PAGEREF _Toc31564 \h </w:instrText>
      </w:r>
      <w:r>
        <w:rPr>
          <w:sz w:val="28"/>
          <w:szCs w:val="28"/>
        </w:rPr>
        <w:fldChar w:fldCharType="separate"/>
      </w:r>
      <w:r>
        <w:rPr>
          <w:sz w:val="28"/>
          <w:szCs w:val="28"/>
        </w:rPr>
        <w:t>8</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_Toc6674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3.13多学科诊疗绩效方案</w:t>
      </w:r>
      <w:r>
        <w:rPr>
          <w:sz w:val="28"/>
          <w:szCs w:val="28"/>
        </w:rPr>
        <w:tab/>
      </w:r>
      <w:r>
        <w:rPr>
          <w:sz w:val="28"/>
          <w:szCs w:val="28"/>
        </w:rPr>
        <w:fldChar w:fldCharType="begin"/>
      </w:r>
      <w:r>
        <w:rPr>
          <w:sz w:val="28"/>
          <w:szCs w:val="28"/>
        </w:rPr>
        <w:instrText xml:space="preserve"> PAGEREF _Toc6674 \h </w:instrText>
      </w:r>
      <w:r>
        <w:rPr>
          <w:sz w:val="28"/>
          <w:szCs w:val="28"/>
        </w:rPr>
        <w:fldChar w:fldCharType="separate"/>
      </w:r>
      <w:r>
        <w:rPr>
          <w:sz w:val="28"/>
          <w:szCs w:val="28"/>
        </w:rPr>
        <w:t>8</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_Toc8539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3.14全科医学绩效方案设计</w:t>
      </w:r>
      <w:r>
        <w:rPr>
          <w:sz w:val="28"/>
          <w:szCs w:val="28"/>
        </w:rPr>
        <w:tab/>
      </w:r>
      <w:r>
        <w:rPr>
          <w:sz w:val="28"/>
          <w:szCs w:val="28"/>
        </w:rPr>
        <w:fldChar w:fldCharType="begin"/>
      </w:r>
      <w:r>
        <w:rPr>
          <w:sz w:val="28"/>
          <w:szCs w:val="28"/>
        </w:rPr>
        <w:instrText xml:space="preserve"> PAGEREF _Toc8539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_Toc14622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3.15药学部、临床药理基地评价方案设计</w:t>
      </w:r>
      <w:r>
        <w:rPr>
          <w:sz w:val="28"/>
          <w:szCs w:val="28"/>
        </w:rPr>
        <w:tab/>
      </w:r>
      <w:r>
        <w:rPr>
          <w:sz w:val="28"/>
          <w:szCs w:val="28"/>
        </w:rPr>
        <w:fldChar w:fldCharType="begin"/>
      </w:r>
      <w:r>
        <w:rPr>
          <w:sz w:val="28"/>
          <w:szCs w:val="28"/>
        </w:rPr>
        <w:instrText xml:space="preserve"> PAGEREF _Toc14622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_Toc8108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3.16医院工资总额管控方案设计</w:t>
      </w:r>
      <w:r>
        <w:rPr>
          <w:sz w:val="28"/>
          <w:szCs w:val="28"/>
        </w:rPr>
        <w:tab/>
      </w:r>
      <w:r>
        <w:rPr>
          <w:sz w:val="28"/>
          <w:szCs w:val="28"/>
        </w:rPr>
        <w:fldChar w:fldCharType="begin"/>
      </w:r>
      <w:r>
        <w:rPr>
          <w:sz w:val="28"/>
          <w:szCs w:val="28"/>
        </w:rPr>
        <w:instrText xml:space="preserve"> PAGEREF _Toc8108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_Toc32367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3.17绩效以及运营数据分析</w:t>
      </w:r>
      <w:r>
        <w:rPr>
          <w:sz w:val="28"/>
          <w:szCs w:val="28"/>
        </w:rPr>
        <w:tab/>
      </w:r>
      <w:r>
        <w:rPr>
          <w:sz w:val="28"/>
          <w:szCs w:val="28"/>
        </w:rPr>
        <w:fldChar w:fldCharType="begin"/>
      </w:r>
      <w:r>
        <w:rPr>
          <w:sz w:val="28"/>
          <w:szCs w:val="28"/>
        </w:rPr>
        <w:instrText xml:space="preserve"> PAGEREF _Toc32367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_Toc5903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3.18科主任、护士长及职能科室负责人绩效评价方案设计</w:t>
      </w:r>
      <w:r>
        <w:rPr>
          <w:sz w:val="28"/>
          <w:szCs w:val="28"/>
        </w:rPr>
        <w:tab/>
      </w:r>
      <w:r>
        <w:rPr>
          <w:sz w:val="28"/>
          <w:szCs w:val="28"/>
        </w:rPr>
        <w:fldChar w:fldCharType="begin"/>
      </w:r>
      <w:r>
        <w:rPr>
          <w:sz w:val="28"/>
          <w:szCs w:val="28"/>
        </w:rPr>
        <w:instrText xml:space="preserve"> PAGEREF _Toc5903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_Toc10725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3.19引进专家绩效方案设计及取数口径</w:t>
      </w:r>
      <w:r>
        <w:rPr>
          <w:sz w:val="28"/>
          <w:szCs w:val="28"/>
        </w:rPr>
        <w:tab/>
      </w:r>
      <w:r>
        <w:rPr>
          <w:sz w:val="28"/>
          <w:szCs w:val="28"/>
        </w:rPr>
        <w:fldChar w:fldCharType="begin"/>
      </w:r>
      <w:r>
        <w:rPr>
          <w:sz w:val="28"/>
          <w:szCs w:val="28"/>
        </w:rPr>
        <w:instrText xml:space="preserve"> PAGEREF _Toc10725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_Toc10476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3.20指令性任务专项绩效方案设计</w:t>
      </w:r>
      <w:r>
        <w:rPr>
          <w:sz w:val="28"/>
          <w:szCs w:val="28"/>
        </w:rPr>
        <w:tab/>
      </w:r>
      <w:r>
        <w:rPr>
          <w:sz w:val="28"/>
          <w:szCs w:val="28"/>
        </w:rPr>
        <w:fldChar w:fldCharType="begin"/>
      </w:r>
      <w:r>
        <w:rPr>
          <w:sz w:val="28"/>
          <w:szCs w:val="28"/>
        </w:rPr>
        <w:instrText xml:space="preserve"> PAGEREF _Toc10476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_Toc23596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3.21其他绩效方案设计</w:t>
      </w:r>
      <w:r>
        <w:rPr>
          <w:sz w:val="28"/>
          <w:szCs w:val="28"/>
        </w:rPr>
        <w:tab/>
      </w:r>
      <w:r>
        <w:rPr>
          <w:sz w:val="28"/>
          <w:szCs w:val="28"/>
        </w:rPr>
        <w:fldChar w:fldCharType="begin"/>
      </w:r>
      <w:r>
        <w:rPr>
          <w:sz w:val="28"/>
          <w:szCs w:val="28"/>
        </w:rPr>
        <w:instrText xml:space="preserve"> PAGEREF _Toc23596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sz w:val="28"/>
          <w:szCs w:val="28"/>
          <w:highlight w:val="none"/>
        </w:rPr>
        <w:fldChar w:fldCharType="end"/>
      </w:r>
    </w:p>
    <w:p>
      <w:pPr>
        <w:pStyle w:val="22"/>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_Toc27806 </w:instrText>
      </w:r>
      <w:r>
        <w:rPr>
          <w:rFonts w:hint="eastAsia" w:ascii="仿宋" w:hAnsi="仿宋" w:eastAsia="仿宋" w:cs="仿宋"/>
          <w:sz w:val="28"/>
          <w:szCs w:val="28"/>
          <w:highlight w:val="none"/>
        </w:rPr>
        <w:fldChar w:fldCharType="separate"/>
      </w:r>
      <w:r>
        <w:rPr>
          <w:rFonts w:hint="eastAsia" w:ascii="黑体" w:hAnsi="黑体" w:eastAsia="黑体" w:cs="黑体"/>
          <w:bCs w:val="0"/>
          <w:sz w:val="28"/>
          <w:szCs w:val="28"/>
          <w:highlight w:val="none"/>
          <w:lang w:val="en-US" w:eastAsia="zh-CN"/>
        </w:rPr>
        <w:t>四、医院绩效考核管理软件系统</w:t>
      </w:r>
      <w:r>
        <w:rPr>
          <w:sz w:val="28"/>
          <w:szCs w:val="28"/>
        </w:rPr>
        <w:tab/>
      </w:r>
      <w:r>
        <w:rPr>
          <w:sz w:val="28"/>
          <w:szCs w:val="28"/>
        </w:rPr>
        <w:fldChar w:fldCharType="begin"/>
      </w:r>
      <w:r>
        <w:rPr>
          <w:sz w:val="28"/>
          <w:szCs w:val="28"/>
        </w:rPr>
        <w:instrText xml:space="preserve"> PAGEREF _Toc27806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_Toc19238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.1技术规格</w:t>
      </w:r>
      <w:r>
        <w:rPr>
          <w:sz w:val="28"/>
          <w:szCs w:val="28"/>
        </w:rPr>
        <w:tab/>
      </w:r>
      <w:r>
        <w:rPr>
          <w:sz w:val="28"/>
          <w:szCs w:val="28"/>
        </w:rPr>
        <w:fldChar w:fldCharType="begin"/>
      </w:r>
      <w:r>
        <w:rPr>
          <w:sz w:val="28"/>
          <w:szCs w:val="28"/>
        </w:rPr>
        <w:instrText xml:space="preserve"> PAGEREF _Toc19238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_Toc5284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.2绩效软件功能</w:t>
      </w:r>
      <w:r>
        <w:rPr>
          <w:rFonts w:hint="eastAsia" w:ascii="仿宋" w:hAnsi="仿宋" w:eastAsia="仿宋" w:cs="仿宋"/>
          <w:sz w:val="28"/>
          <w:szCs w:val="28"/>
          <w:highlight w:val="none"/>
          <w:lang w:eastAsia="zh-CN"/>
        </w:rPr>
        <w:t>需求</w:t>
      </w:r>
      <w:r>
        <w:rPr>
          <w:sz w:val="28"/>
          <w:szCs w:val="28"/>
        </w:rPr>
        <w:tab/>
      </w:r>
      <w:r>
        <w:rPr>
          <w:sz w:val="28"/>
          <w:szCs w:val="28"/>
        </w:rPr>
        <w:fldChar w:fldCharType="begin"/>
      </w:r>
      <w:r>
        <w:rPr>
          <w:sz w:val="28"/>
          <w:szCs w:val="28"/>
        </w:rPr>
        <w:instrText xml:space="preserve"> PAGEREF _Toc5284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_Toc2771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.3运营数据集成分析系统</w:t>
      </w:r>
      <w:r>
        <w:rPr>
          <w:rFonts w:hint="eastAsia" w:ascii="仿宋" w:hAnsi="仿宋" w:eastAsia="仿宋" w:cs="仿宋"/>
          <w:sz w:val="28"/>
          <w:szCs w:val="28"/>
        </w:rPr>
        <w:t>技术要求</w:t>
      </w:r>
      <w:r>
        <w:rPr>
          <w:sz w:val="28"/>
          <w:szCs w:val="28"/>
        </w:rPr>
        <w:tab/>
      </w:r>
      <w:r>
        <w:rPr>
          <w:sz w:val="28"/>
          <w:szCs w:val="28"/>
        </w:rPr>
        <w:fldChar w:fldCharType="begin"/>
      </w:r>
      <w:r>
        <w:rPr>
          <w:sz w:val="28"/>
          <w:szCs w:val="28"/>
        </w:rPr>
        <w:instrText xml:space="preserve"> PAGEREF _Toc2771 \h </w:instrText>
      </w:r>
      <w:r>
        <w:rPr>
          <w:sz w:val="28"/>
          <w:szCs w:val="28"/>
        </w:rPr>
        <w:fldChar w:fldCharType="separate"/>
      </w:r>
      <w:r>
        <w:rPr>
          <w:sz w:val="28"/>
          <w:szCs w:val="28"/>
        </w:rPr>
        <w:t>14</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_Toc27261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DIP评价与运营分析系统</w:t>
      </w:r>
      <w:r>
        <w:rPr>
          <w:rFonts w:hint="eastAsia" w:ascii="仿宋" w:hAnsi="仿宋" w:eastAsia="仿宋" w:cs="仿宋"/>
          <w:sz w:val="28"/>
          <w:szCs w:val="28"/>
        </w:rPr>
        <w:t>技术要求</w:t>
      </w:r>
      <w:r>
        <w:rPr>
          <w:sz w:val="28"/>
          <w:szCs w:val="28"/>
        </w:rPr>
        <w:tab/>
      </w:r>
      <w:r>
        <w:rPr>
          <w:sz w:val="28"/>
          <w:szCs w:val="28"/>
        </w:rPr>
        <w:fldChar w:fldCharType="begin"/>
      </w:r>
      <w:r>
        <w:rPr>
          <w:sz w:val="28"/>
          <w:szCs w:val="28"/>
        </w:rPr>
        <w:instrText xml:space="preserve"> PAGEREF _Toc27261 \h </w:instrText>
      </w:r>
      <w:r>
        <w:rPr>
          <w:sz w:val="28"/>
          <w:szCs w:val="28"/>
        </w:rPr>
        <w:fldChar w:fldCharType="separate"/>
      </w:r>
      <w:r>
        <w:rPr>
          <w:sz w:val="28"/>
          <w:szCs w:val="28"/>
        </w:rPr>
        <w:t>15</w:t>
      </w:r>
      <w:r>
        <w:rPr>
          <w:sz w:val="28"/>
          <w:szCs w:val="28"/>
        </w:rPr>
        <w:fldChar w:fldCharType="end"/>
      </w:r>
      <w:r>
        <w:rPr>
          <w:rFonts w:hint="eastAsia" w:ascii="仿宋" w:hAnsi="仿宋" w:eastAsia="仿宋" w:cs="仿宋"/>
          <w:sz w:val="28"/>
          <w:szCs w:val="28"/>
          <w:highlight w:val="none"/>
        </w:rPr>
        <w:fldChar w:fldCharType="end"/>
      </w:r>
    </w:p>
    <w:p>
      <w:pPr>
        <w:pStyle w:val="25"/>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_Toc5710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.5其他软件功能需求</w:t>
      </w:r>
      <w:r>
        <w:rPr>
          <w:sz w:val="28"/>
          <w:szCs w:val="28"/>
        </w:rPr>
        <w:tab/>
      </w:r>
      <w:r>
        <w:rPr>
          <w:sz w:val="28"/>
          <w:szCs w:val="28"/>
        </w:rPr>
        <w:fldChar w:fldCharType="begin"/>
      </w:r>
      <w:r>
        <w:rPr>
          <w:sz w:val="28"/>
          <w:szCs w:val="28"/>
        </w:rPr>
        <w:instrText xml:space="preserve"> PAGEREF _Toc5710 \h </w:instrText>
      </w:r>
      <w:r>
        <w:rPr>
          <w:sz w:val="28"/>
          <w:szCs w:val="28"/>
        </w:rPr>
        <w:fldChar w:fldCharType="separate"/>
      </w:r>
      <w:r>
        <w:rPr>
          <w:sz w:val="28"/>
          <w:szCs w:val="28"/>
        </w:rPr>
        <w:t>17</w:t>
      </w:r>
      <w:r>
        <w:rPr>
          <w:sz w:val="28"/>
          <w:szCs w:val="28"/>
        </w:rPr>
        <w:fldChar w:fldCharType="end"/>
      </w:r>
      <w:r>
        <w:rPr>
          <w:rFonts w:hint="eastAsia" w:ascii="仿宋" w:hAnsi="仿宋" w:eastAsia="仿宋" w:cs="仿宋"/>
          <w:sz w:val="28"/>
          <w:szCs w:val="28"/>
          <w:highlight w:val="none"/>
        </w:rPr>
        <w:fldChar w:fldCharType="end"/>
      </w:r>
    </w:p>
    <w:p>
      <w:pPr>
        <w:pStyle w:val="22"/>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_Toc15902 </w:instrText>
      </w:r>
      <w:r>
        <w:rPr>
          <w:rFonts w:hint="eastAsia" w:ascii="仿宋" w:hAnsi="仿宋" w:eastAsia="仿宋" w:cs="仿宋"/>
          <w:sz w:val="28"/>
          <w:szCs w:val="28"/>
          <w:highlight w:val="none"/>
        </w:rPr>
        <w:fldChar w:fldCharType="separate"/>
      </w:r>
      <w:r>
        <w:rPr>
          <w:rFonts w:hint="eastAsia" w:ascii="黑体" w:hAnsi="黑体" w:eastAsia="黑体" w:cs="黑体"/>
          <w:bCs w:val="0"/>
          <w:sz w:val="28"/>
          <w:szCs w:val="28"/>
        </w:rPr>
        <w:t>五、项目实施要求</w:t>
      </w:r>
      <w:r>
        <w:rPr>
          <w:sz w:val="28"/>
          <w:szCs w:val="28"/>
        </w:rPr>
        <w:tab/>
      </w:r>
      <w:r>
        <w:rPr>
          <w:sz w:val="28"/>
          <w:szCs w:val="28"/>
        </w:rPr>
        <w:fldChar w:fldCharType="begin"/>
      </w:r>
      <w:r>
        <w:rPr>
          <w:sz w:val="28"/>
          <w:szCs w:val="28"/>
        </w:rPr>
        <w:instrText xml:space="preserve"> PAGEREF _Toc15902 \h </w:instrText>
      </w:r>
      <w:r>
        <w:rPr>
          <w:sz w:val="28"/>
          <w:szCs w:val="28"/>
        </w:rPr>
        <w:fldChar w:fldCharType="separate"/>
      </w:r>
      <w:r>
        <w:rPr>
          <w:sz w:val="28"/>
          <w:szCs w:val="28"/>
        </w:rPr>
        <w:t>17</w:t>
      </w:r>
      <w:r>
        <w:rPr>
          <w:sz w:val="28"/>
          <w:szCs w:val="28"/>
        </w:rPr>
        <w:fldChar w:fldCharType="end"/>
      </w:r>
      <w:r>
        <w:rPr>
          <w:rFonts w:hint="eastAsia" w:ascii="仿宋" w:hAnsi="仿宋" w:eastAsia="仿宋" w:cs="仿宋"/>
          <w:sz w:val="28"/>
          <w:szCs w:val="28"/>
          <w:highlight w:val="none"/>
        </w:rPr>
        <w:fldChar w:fldCharType="end"/>
      </w:r>
    </w:p>
    <w:p>
      <w:pPr>
        <w:pStyle w:val="22"/>
        <w:keepNext w:val="0"/>
        <w:keepLines w:val="0"/>
        <w:pageBreakBefore w:val="0"/>
        <w:widowControl w:val="0"/>
        <w:tabs>
          <w:tab w:val="right" w:leader="dot" w:pos="8306"/>
        </w:tabs>
        <w:kinsoku/>
        <w:wordWrap/>
        <w:overflowPunct/>
        <w:topLinePunct w:val="0"/>
        <w:autoSpaceDE/>
        <w:autoSpaceDN/>
        <w:bidi w:val="0"/>
        <w:adjustRightInd/>
        <w:snapToGrid/>
        <w:spacing w:line="360" w:lineRule="exact"/>
        <w:textAlignment w:val="auto"/>
        <w:rPr>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_Toc25045 </w:instrText>
      </w:r>
      <w:r>
        <w:rPr>
          <w:rFonts w:hint="eastAsia" w:ascii="仿宋" w:hAnsi="仿宋" w:eastAsia="仿宋" w:cs="仿宋"/>
          <w:sz w:val="28"/>
          <w:szCs w:val="28"/>
          <w:highlight w:val="none"/>
        </w:rPr>
        <w:fldChar w:fldCharType="separate"/>
      </w:r>
      <w:r>
        <w:rPr>
          <w:rFonts w:hint="eastAsia" w:ascii="黑体" w:hAnsi="黑体" w:eastAsia="黑体" w:cs="黑体"/>
          <w:bCs w:val="0"/>
          <w:sz w:val="28"/>
          <w:szCs w:val="28"/>
        </w:rPr>
        <w:t>六、项目控制价及售后服务要求</w:t>
      </w:r>
      <w:r>
        <w:rPr>
          <w:sz w:val="28"/>
          <w:szCs w:val="28"/>
        </w:rPr>
        <w:tab/>
      </w:r>
      <w:r>
        <w:rPr>
          <w:sz w:val="28"/>
          <w:szCs w:val="28"/>
        </w:rPr>
        <w:fldChar w:fldCharType="begin"/>
      </w:r>
      <w:r>
        <w:rPr>
          <w:sz w:val="28"/>
          <w:szCs w:val="28"/>
        </w:rPr>
        <w:instrText xml:space="preserve"> PAGEREF _Toc25045 \h </w:instrText>
      </w:r>
      <w:r>
        <w:rPr>
          <w:sz w:val="28"/>
          <w:szCs w:val="28"/>
        </w:rPr>
        <w:fldChar w:fldCharType="separate"/>
      </w:r>
      <w:r>
        <w:rPr>
          <w:sz w:val="28"/>
          <w:szCs w:val="28"/>
        </w:rPr>
        <w:t>18</w:t>
      </w:r>
      <w:r>
        <w:rPr>
          <w:sz w:val="28"/>
          <w:szCs w:val="28"/>
        </w:rPr>
        <w:fldChar w:fldCharType="end"/>
      </w:r>
      <w:r>
        <w:rPr>
          <w:rFonts w:hint="eastAsia" w:ascii="仿宋" w:hAnsi="仿宋" w:eastAsia="仿宋" w:cs="仿宋"/>
          <w:sz w:val="28"/>
          <w:szCs w:val="28"/>
          <w:highlight w:val="none"/>
        </w:rPr>
        <w:fldChar w:fldCharType="end"/>
      </w:r>
    </w:p>
    <w:p>
      <w:pPr>
        <w:pStyle w:val="40"/>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eastAsia" w:ascii="黑体" w:hAnsi="黑体" w:eastAsia="黑体" w:cs="黑体"/>
          <w:b w:val="0"/>
          <w:bCs w:val="0"/>
          <w:color w:val="auto"/>
          <w:szCs w:val="32"/>
          <w:highlight w:val="none"/>
          <w:lang w:val="en-US" w:eastAsia="zh-CN"/>
        </w:rPr>
        <w:sectPr>
          <w:footerReference r:id="rId6" w:type="first"/>
          <w:footerReference r:id="rId5" w:type="default"/>
          <w:type w:val="continuous"/>
          <w:pgSz w:w="11906" w:h="16838"/>
          <w:pgMar w:top="1440" w:right="1800" w:bottom="1440" w:left="1800" w:header="851" w:footer="992" w:gutter="0"/>
          <w:pgNumType w:start="1"/>
          <w:cols w:space="425" w:num="1"/>
          <w:titlePg/>
          <w:docGrid w:type="lines" w:linePitch="326" w:charSpace="0"/>
        </w:sectPr>
      </w:pPr>
      <w:r>
        <w:rPr>
          <w:rFonts w:hint="eastAsia" w:ascii="仿宋" w:hAnsi="仿宋" w:eastAsia="仿宋" w:cs="仿宋"/>
          <w:sz w:val="28"/>
          <w:szCs w:val="28"/>
          <w:highlight w:val="none"/>
        </w:rPr>
        <w:fldChar w:fldCharType="end"/>
      </w:r>
      <w:bookmarkEnd w:id="0"/>
      <w:bookmarkStart w:id="1" w:name="_Toc7673"/>
    </w:p>
    <w:p>
      <w:pPr>
        <w:pStyle w:val="3"/>
        <w:numPr>
          <w:ilvl w:val="0"/>
          <w:numId w:val="0"/>
        </w:numPr>
        <w:spacing w:before="0" w:after="0"/>
        <w:rPr>
          <w:rFonts w:hint="default" w:ascii="黑体" w:hAnsi="黑体" w:eastAsia="黑体" w:cs="黑体"/>
          <w:b w:val="0"/>
          <w:bCs w:val="0"/>
          <w:color w:val="auto"/>
          <w:szCs w:val="32"/>
          <w:highlight w:val="none"/>
          <w:lang w:val="en-US" w:eastAsia="zh-CN"/>
        </w:rPr>
      </w:pPr>
      <w:bookmarkStart w:id="2" w:name="_Toc23239"/>
      <w:r>
        <w:rPr>
          <w:rFonts w:hint="eastAsia" w:ascii="黑体" w:hAnsi="黑体" w:eastAsia="黑体" w:cs="黑体"/>
          <w:b w:val="0"/>
          <w:bCs w:val="0"/>
          <w:color w:val="auto"/>
          <w:szCs w:val="32"/>
          <w:highlight w:val="none"/>
          <w:lang w:val="en-US" w:eastAsia="zh-CN"/>
        </w:rPr>
        <w:t>一、项目内容</w:t>
      </w:r>
      <w:bookmarkEnd w:id="1"/>
      <w:r>
        <w:rPr>
          <w:rFonts w:hint="eastAsia" w:ascii="黑体" w:hAnsi="黑体" w:eastAsia="黑体" w:cs="黑体"/>
          <w:b w:val="0"/>
          <w:bCs w:val="0"/>
          <w:color w:val="auto"/>
          <w:szCs w:val="32"/>
          <w:highlight w:val="none"/>
          <w:lang w:val="en-US" w:eastAsia="zh-CN"/>
        </w:rPr>
        <w:t>及数量</w:t>
      </w:r>
      <w:bookmarkEnd w:id="2"/>
    </w:p>
    <w:tbl>
      <w:tblPr>
        <w:tblStyle w:val="29"/>
        <w:tblW w:w="8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88"/>
        <w:gridCol w:w="4428"/>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5416" w:type="dxa"/>
            <w:gridSpan w:val="2"/>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一、医院绩效咨询服务内容</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1.1</w:t>
            </w:r>
          </w:p>
        </w:tc>
        <w:tc>
          <w:tcPr>
            <w:tcW w:w="988" w:type="dxa"/>
            <w:vMerge w:val="restart"/>
            <w:shd w:val="clear" w:color="auto" w:fill="auto"/>
            <w:vAlign w:val="center"/>
          </w:tcPr>
          <w:p>
            <w:pPr>
              <w:ind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医院绩效方案设计</w:t>
            </w: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临床医生绩效评价方案设计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1.2</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临床护士绩效评价方案设计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1.3</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医技科室绩效评价方案设计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1.4</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辅助类科室绩效方案设计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1.5</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科室直接成本管控方案设计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1.6</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DIP绩效方案设计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1.7</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三级公立医院绩效考核指标方案设计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1.8</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KPI关键考核指标方案设计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1.9</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科室二次分配指导意见方案设计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1.10</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行管后勤科室绩效方案设计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1.11</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tabs>
                <w:tab w:val="left" w:pos="451"/>
              </w:tabs>
              <w:spacing w:line="240" w:lineRule="auto"/>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科研、教学</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学科建设等</w:t>
            </w:r>
            <w:r>
              <w:rPr>
                <w:rFonts w:hint="eastAsia" w:ascii="仿宋" w:hAnsi="仿宋" w:eastAsia="仿宋" w:cs="仿宋"/>
                <w:color w:val="auto"/>
                <w:szCs w:val="24"/>
                <w:highlight w:val="none"/>
              </w:rPr>
              <w:t>专项绩效评价方案设计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1.12</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手术专项绩效评价方案设计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1.13</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hint="eastAsia" w:ascii="仿宋" w:hAnsi="仿宋" w:eastAsia="仿宋" w:cs="仿宋"/>
                <w:color w:val="auto"/>
                <w:spacing w:val="-1"/>
                <w:highlight w:val="none"/>
              </w:rPr>
            </w:pPr>
            <w:r>
              <w:rPr>
                <w:rFonts w:hint="eastAsia" w:ascii="仿宋" w:hAnsi="仿宋" w:eastAsia="仿宋" w:cs="仿宋"/>
                <w:color w:val="auto"/>
                <w:spacing w:val="-1"/>
                <w:highlight w:val="none"/>
              </w:rPr>
              <w:t>新项目、新技术专项绩效方案设计</w:t>
            </w:r>
          </w:p>
        </w:tc>
        <w:tc>
          <w:tcPr>
            <w:tcW w:w="1443" w:type="dxa"/>
            <w:shd w:val="clear" w:color="auto" w:fill="auto"/>
            <w:vAlign w:val="center"/>
          </w:tcPr>
          <w:p>
            <w:pPr>
              <w:ind w:left="0" w:leftChars="0" w:firstLine="0" w:firstLineChars="0"/>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1.14</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pacing w:val="-1"/>
                <w:highlight w:val="none"/>
              </w:rPr>
              <w:t>多学科诊疗绩效方案设计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1.15</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pacing w:val="-1"/>
                <w:highlight w:val="none"/>
              </w:rPr>
            </w:pPr>
            <w:r>
              <w:rPr>
                <w:rFonts w:hint="eastAsia" w:ascii="仿宋" w:hAnsi="仿宋" w:eastAsia="仿宋" w:cs="仿宋"/>
                <w:color w:val="auto"/>
                <w:spacing w:val="-1"/>
                <w:highlight w:val="none"/>
              </w:rPr>
              <w:t>全科医学绩效方案设计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1.16</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药学部、临床药理基地评价方案设计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1.17</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医院工资总额管控方案设计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1.18</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绩效以及运营数据分析</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92" w:type="dxa"/>
            <w:shd w:val="clear" w:color="auto" w:fill="auto"/>
            <w:vAlign w:val="center"/>
          </w:tcPr>
          <w:p>
            <w:pPr>
              <w:ind w:firstLine="0" w:firstLineChars="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1.19</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spacing w:line="240" w:lineRule="auto"/>
              <w:ind w:firstLine="0" w:firstLineChars="0"/>
              <w:rPr>
                <w:rFonts w:ascii="仿宋" w:hAnsi="仿宋" w:eastAsia="仿宋" w:cs="仿宋"/>
                <w:color w:val="auto"/>
                <w:spacing w:val="-1"/>
                <w:highlight w:val="none"/>
              </w:rPr>
            </w:pPr>
            <w:r>
              <w:rPr>
                <w:rFonts w:hint="eastAsia" w:ascii="仿宋" w:hAnsi="仿宋" w:eastAsia="仿宋" w:cs="仿宋"/>
                <w:color w:val="auto"/>
                <w:spacing w:val="-1"/>
                <w:highlight w:val="none"/>
              </w:rPr>
              <w:t>科主任、护士长及职能科室负责人绩效评价方案设计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1.20</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pacing w:val="-1"/>
                <w:highlight w:val="none"/>
              </w:rPr>
            </w:pPr>
            <w:r>
              <w:rPr>
                <w:rFonts w:hint="eastAsia" w:ascii="仿宋" w:hAnsi="仿宋" w:eastAsia="仿宋" w:cs="仿宋"/>
                <w:color w:val="auto"/>
                <w:spacing w:val="-1"/>
                <w:highlight w:val="none"/>
              </w:rPr>
              <w:t>引进专家绩效方案设计及取数口径</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1.2</w:t>
            </w:r>
            <w:r>
              <w:rPr>
                <w:rFonts w:hint="eastAsia" w:ascii="仿宋" w:hAnsi="仿宋" w:eastAsia="仿宋" w:cs="仿宋"/>
                <w:color w:val="auto"/>
                <w:szCs w:val="24"/>
                <w:highlight w:val="none"/>
                <w:lang w:val="en-US" w:eastAsia="zh-CN"/>
              </w:rPr>
              <w:t>1</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hint="eastAsia" w:ascii="仿宋" w:hAnsi="仿宋" w:eastAsia="仿宋" w:cs="仿宋"/>
                <w:color w:val="auto"/>
                <w:spacing w:val="-1"/>
                <w:highlight w:val="none"/>
              </w:rPr>
            </w:pPr>
            <w:r>
              <w:rPr>
                <w:rFonts w:hint="eastAsia" w:ascii="仿宋" w:hAnsi="仿宋" w:eastAsia="仿宋" w:cs="仿宋"/>
                <w:color w:val="auto"/>
                <w:spacing w:val="-1"/>
                <w:highlight w:val="none"/>
              </w:rPr>
              <w:t>指令性任务</w:t>
            </w:r>
            <w:r>
              <w:rPr>
                <w:rFonts w:hint="eastAsia" w:ascii="仿宋" w:hAnsi="仿宋" w:eastAsia="仿宋" w:cs="仿宋"/>
                <w:color w:val="auto"/>
                <w:spacing w:val="-1"/>
                <w:highlight w:val="none"/>
                <w:lang w:val="en-US" w:eastAsia="zh-CN"/>
              </w:rPr>
              <w:t>专项</w:t>
            </w:r>
            <w:r>
              <w:rPr>
                <w:rFonts w:hint="eastAsia" w:ascii="仿宋" w:hAnsi="仿宋" w:eastAsia="仿宋" w:cs="仿宋"/>
                <w:color w:val="auto"/>
                <w:spacing w:val="-1"/>
                <w:highlight w:val="none"/>
              </w:rPr>
              <w:t>绩效方案设计</w:t>
            </w:r>
          </w:p>
        </w:tc>
        <w:tc>
          <w:tcPr>
            <w:tcW w:w="1443" w:type="dxa"/>
            <w:shd w:val="clear" w:color="auto" w:fill="auto"/>
            <w:vAlign w:val="center"/>
          </w:tcPr>
          <w:p>
            <w:pPr>
              <w:ind w:left="0" w:leftChars="0" w:firstLine="0" w:firstLineChars="0"/>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1.2</w:t>
            </w:r>
            <w:r>
              <w:rPr>
                <w:rFonts w:hint="eastAsia" w:ascii="仿宋" w:hAnsi="仿宋" w:eastAsia="仿宋" w:cs="仿宋"/>
                <w:color w:val="auto"/>
                <w:szCs w:val="24"/>
                <w:highlight w:val="none"/>
                <w:lang w:val="en-US" w:eastAsia="zh-CN"/>
              </w:rPr>
              <w:t>2</w:t>
            </w:r>
          </w:p>
        </w:tc>
        <w:tc>
          <w:tcPr>
            <w:tcW w:w="988" w:type="dxa"/>
            <w:vMerge w:val="continue"/>
            <w:shd w:val="clear" w:color="auto" w:fill="auto"/>
            <w:vAlign w:val="center"/>
          </w:tcPr>
          <w:p>
            <w:pPr>
              <w:ind w:firstLine="480"/>
              <w:rPr>
                <w:rFonts w:ascii="仿宋" w:hAnsi="仿宋" w:eastAsia="仿宋" w:cs="仿宋"/>
                <w:color w:val="auto"/>
                <w:szCs w:val="24"/>
                <w:highlight w:val="none"/>
              </w:rPr>
            </w:pPr>
          </w:p>
        </w:tc>
        <w:tc>
          <w:tcPr>
            <w:tcW w:w="4428" w:type="dxa"/>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pacing w:val="-1"/>
                <w:highlight w:val="none"/>
              </w:rPr>
              <w:t>其他绩效方案设计</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5416" w:type="dxa"/>
            <w:gridSpan w:val="2"/>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二、配套软件系统（与方案匹配的软件系统）</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5416" w:type="dxa"/>
            <w:gridSpan w:val="2"/>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医院绩效评价管理系统</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5416" w:type="dxa"/>
            <w:gridSpan w:val="2"/>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三、DIP评价与运营分析系统</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5416" w:type="dxa"/>
            <w:gridSpan w:val="2"/>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DIP评价与运营分析系统</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序号</w:t>
            </w:r>
          </w:p>
        </w:tc>
        <w:tc>
          <w:tcPr>
            <w:tcW w:w="5416" w:type="dxa"/>
            <w:gridSpan w:val="2"/>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四、运营数据集成分析系统</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92" w:type="dxa"/>
            <w:shd w:val="clear" w:color="auto" w:fill="auto"/>
            <w:vAlign w:val="center"/>
          </w:tcPr>
          <w:p>
            <w:pPr>
              <w:ind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5416" w:type="dxa"/>
            <w:gridSpan w:val="2"/>
            <w:shd w:val="clear" w:color="auto" w:fill="auto"/>
            <w:vAlign w:val="center"/>
          </w:tcPr>
          <w:p>
            <w:pPr>
              <w:ind w:left="0" w:leftChars="0" w:firstLine="0" w:firstLineChars="0"/>
              <w:rPr>
                <w:rFonts w:ascii="仿宋" w:hAnsi="仿宋" w:eastAsia="仿宋" w:cs="仿宋"/>
                <w:color w:val="auto"/>
                <w:szCs w:val="24"/>
                <w:highlight w:val="none"/>
              </w:rPr>
            </w:pPr>
            <w:r>
              <w:rPr>
                <w:rFonts w:hint="eastAsia" w:ascii="仿宋" w:hAnsi="仿宋" w:eastAsia="仿宋" w:cs="仿宋"/>
                <w:color w:val="auto"/>
                <w:szCs w:val="24"/>
                <w:highlight w:val="none"/>
              </w:rPr>
              <w:t>全院运营数据分析系统（含日常运营报表）</w:t>
            </w:r>
          </w:p>
        </w:tc>
        <w:tc>
          <w:tcPr>
            <w:tcW w:w="1443" w:type="dxa"/>
            <w:shd w:val="clear" w:color="auto" w:fill="auto"/>
            <w:vAlign w:val="center"/>
          </w:tcPr>
          <w:p>
            <w:pPr>
              <w:ind w:left="0" w:leftChars="0" w:firstLine="0" w:firstLineChars="0"/>
              <w:jc w:val="center"/>
              <w:rPr>
                <w:rFonts w:ascii="仿宋" w:hAnsi="仿宋" w:eastAsia="仿宋" w:cs="仿宋"/>
                <w:color w:val="auto"/>
                <w:szCs w:val="24"/>
                <w:highlight w:val="none"/>
              </w:rPr>
            </w:pPr>
            <w:r>
              <w:rPr>
                <w:rFonts w:hint="eastAsia" w:ascii="仿宋" w:hAnsi="仿宋" w:eastAsia="仿宋" w:cs="仿宋"/>
                <w:color w:val="auto"/>
                <w:szCs w:val="24"/>
                <w:highlight w:val="none"/>
              </w:rPr>
              <w:t>1</w:t>
            </w:r>
          </w:p>
        </w:tc>
      </w:tr>
    </w:tbl>
    <w:p>
      <w:pPr>
        <w:pStyle w:val="3"/>
        <w:numPr>
          <w:ilvl w:val="0"/>
          <w:numId w:val="0"/>
        </w:numPr>
        <w:spacing w:before="0" w:after="0"/>
        <w:jc w:val="both"/>
        <w:rPr>
          <w:rFonts w:hint="eastAsia" w:ascii="黑体" w:hAnsi="黑体" w:eastAsia="黑体" w:cs="黑体"/>
          <w:b w:val="0"/>
          <w:bCs w:val="0"/>
          <w:color w:val="auto"/>
          <w:szCs w:val="32"/>
          <w:highlight w:val="none"/>
          <w:lang w:val="en-US" w:eastAsia="zh-CN"/>
        </w:rPr>
      </w:pPr>
      <w:bookmarkStart w:id="3" w:name="_Toc12391"/>
      <w:r>
        <w:rPr>
          <w:rFonts w:hint="eastAsia" w:ascii="黑体" w:hAnsi="黑体" w:eastAsia="黑体" w:cs="黑体"/>
          <w:b w:val="0"/>
          <w:bCs w:val="0"/>
          <w:color w:val="auto"/>
          <w:szCs w:val="32"/>
          <w:highlight w:val="none"/>
          <w:lang w:val="en-US" w:eastAsia="zh-CN"/>
        </w:rPr>
        <w:t>二、建设原则</w:t>
      </w:r>
      <w:bookmarkEnd w:id="3"/>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1.符合政策规范性原则</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所使用的绩效方案应当满足国家卫健委的“九不准”要求，医务人员的绩效工资不能与收入挂钩，符合医保支付政策要求。</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2.技术方法本地化原则</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由于绩效管理高度个性化，投标方应当提供绩效管理咨询，将国际先进的医务人员劳动价值评价方法在本院进行本地化研究，使之适合本院的发展阶段。并能为未来发展建立基础绩效管理架构。需要咨询团队将RBRVS本土化，并依据医院的业务特点进行本地化。</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3.服务产品先进性原则</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绩效管理方案采用国际通行的医务人员劳动价值评价方法，在国内有成功的应用示范用户。配套软件具有先进的技术水平，有较高的性能，符合当今技术发展的方向。遵循业界规范，不依赖于某一个厂家的系统平台和操作系统之上。尽可能的延长系统的有效生命周期，保护用户在信息化方面的投入物有所值，并发挥投资的最大效益</w:t>
      </w:r>
      <w:bookmarkStart w:id="4" w:name="page38"/>
      <w:bookmarkEnd w:id="4"/>
      <w:r>
        <w:rPr>
          <w:rFonts w:hint="eastAsia" w:ascii="仿宋" w:hAnsi="仿宋" w:eastAsia="仿宋" w:cs="仿宋"/>
          <w:color w:val="auto"/>
          <w:sz w:val="28"/>
          <w:szCs w:val="28"/>
          <w:highlight w:val="none"/>
        </w:rPr>
        <w:t>。</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4.绩效方案实用性原则</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绩效整体方案应当与医院发展的阶段、专业特点、科室分工相匹配，依据方案产生的绩效分配结果应当与医院实际情况相符合。</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5.软件平台开放性原则</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系统设计和建设需坚持开放性原则。软件开发平台采用先进的网络体系设计结构，兼容不同的软件、硬件平台系统，可以利用现有的设备资源，保护投资。</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6.软件系统扩展性原则</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系统建设过程中需遵循扩展性原则，系统必须提供标准的开发接口与用户现有或将来扩展的业务系统集成，特别要加强系统设计的前瞻性、预留系统扩充和扩展能力。</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7.系统数据安全性原则</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涉及内部业务系统建设时应遵循安全性原则，系统必须提供基于利用严密的身份验证、访问控制、多层次的保密手段等措施，确保系统和数据的安全性和完整性。因此，系统必须能够提供有效的安全保密措施，确保整个系统的安全运行。</w:t>
      </w:r>
    </w:p>
    <w:p>
      <w:pPr>
        <w:pStyle w:val="3"/>
        <w:numPr>
          <w:ilvl w:val="0"/>
          <w:numId w:val="0"/>
        </w:numPr>
        <w:spacing w:before="0" w:after="0"/>
        <w:jc w:val="both"/>
        <w:rPr>
          <w:rFonts w:hint="eastAsia" w:ascii="黑体" w:hAnsi="黑体" w:eastAsia="黑体" w:cs="黑体"/>
          <w:b w:val="0"/>
          <w:bCs w:val="0"/>
          <w:color w:val="auto"/>
          <w:szCs w:val="32"/>
          <w:highlight w:val="none"/>
          <w:lang w:val="en-US" w:eastAsia="zh-CN"/>
        </w:rPr>
      </w:pPr>
      <w:bookmarkStart w:id="5" w:name="_Toc117101187"/>
      <w:bookmarkStart w:id="6" w:name="_Toc29228"/>
      <w:r>
        <w:rPr>
          <w:rFonts w:hint="eastAsia" w:ascii="黑体" w:hAnsi="黑体" w:eastAsia="黑体" w:cs="黑体"/>
          <w:b w:val="0"/>
          <w:bCs w:val="0"/>
          <w:color w:val="auto"/>
          <w:szCs w:val="32"/>
          <w:highlight w:val="none"/>
          <w:lang w:val="en-US" w:eastAsia="zh-CN"/>
        </w:rPr>
        <w:t>三、医院绩效咨询服务具体要求</w:t>
      </w:r>
      <w:bookmarkEnd w:id="5"/>
      <w:bookmarkEnd w:id="6"/>
    </w:p>
    <w:p>
      <w:pPr>
        <w:pStyle w:val="4"/>
        <w:numPr>
          <w:ilvl w:val="1"/>
          <w:numId w:val="0"/>
        </w:numPr>
        <w:spacing w:before="0" w:after="0"/>
        <w:jc w:val="both"/>
        <w:rPr>
          <w:rFonts w:ascii="仿宋" w:hAnsi="仿宋" w:eastAsia="仿宋" w:cs="仿宋"/>
          <w:color w:val="auto"/>
          <w:highlight w:val="none"/>
        </w:rPr>
      </w:pPr>
      <w:bookmarkStart w:id="7" w:name="_Toc117101188"/>
      <w:bookmarkStart w:id="8" w:name="_Toc29923"/>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.1整体要求</w:t>
      </w:r>
      <w:bookmarkEnd w:id="7"/>
      <w:bookmarkEnd w:id="8"/>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建设要求基于医院现有信息化系统，咨询服务需要使用国际通行的RBRVS（基于资源消耗为基础的价值尺度）量化标准，提供基于CPT-RBRVS的医生、护理、医技、药学人员定量考核方案。投标时可以提供基础方案，在实施时需要提供分类细化方案，并满足2024年福建省卫健委新收费代码与RBRVS对照关系。</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建立以工作量评价为基础，以RBRVS、DIP为工作量评价工具，以医院战略目标（扩大服务量、提高效率、优化种结构和收入结构）为导向，统筹效率、质量、成本、科研教学的绩效评价和分配体系，兼顾关键业绩指标和直接成本管控体系，实现绩效分配的公平性，符合卫健委九项准则要求，体现多劳多得，优绩优酬，保证医院的公益性要求。</w:t>
      </w:r>
    </w:p>
    <w:p>
      <w:pPr>
        <w:pStyle w:val="4"/>
        <w:numPr>
          <w:ilvl w:val="1"/>
          <w:numId w:val="0"/>
        </w:numPr>
        <w:spacing w:before="0" w:after="0"/>
        <w:jc w:val="both"/>
        <w:rPr>
          <w:rFonts w:ascii="仿宋" w:hAnsi="仿宋" w:eastAsia="仿宋" w:cs="仿宋"/>
          <w:color w:val="auto"/>
          <w:highlight w:val="none"/>
        </w:rPr>
      </w:pPr>
      <w:bookmarkStart w:id="9" w:name="_Toc9433"/>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.2临床医生、临床护理、医技科室绩效考核方案设计</w:t>
      </w:r>
      <w:bookmarkEnd w:id="9"/>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依据RBRVS把全院医疗收费项目价格转换为绩效点数，作为衡量医师、护理、医技人员的工作量的基准。同时方案中应当体现服务量因素，把门诊人次、出院人次、手术人次、占床日数、检查化验人次等量化为绩效点数。实行临床、医技、护理等可执行RBRVS的核算单元分别进行绩效工资核算。医生绩效工资可按医疗组分配。对各护理单元有客观评价方案和方法，确定护理单元的之间的劳动差别。方案中应当设计体现医护分开后仍能保持医、护之间高效合作的方法，方法具有可操作性和公平性。方案中应当体现临床医生在研判分析检查、检验结果的劳动付出，但是不能以检查和检验项目的收入衡量医务人员的劳动付出。</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各核算单元实行“院科（组）两级分配制度”，科室（医疗组）两级分配由科主任（医疗组长）、护士长负责，科</w:t>
      </w:r>
      <w:bookmarkStart w:id="10" w:name="page39"/>
      <w:bookmarkEnd w:id="10"/>
      <w:r>
        <w:rPr>
          <w:rFonts w:hint="eastAsia" w:ascii="仿宋" w:hAnsi="仿宋" w:eastAsia="仿宋" w:cs="仿宋"/>
          <w:color w:val="auto"/>
          <w:sz w:val="28"/>
          <w:szCs w:val="28"/>
          <w:highlight w:val="none"/>
        </w:rPr>
        <w:t>（医疗组）内分配至个人，上交绩效管理部门核准，再由财务处发放到个人。</w:t>
      </w:r>
    </w:p>
    <w:p>
      <w:pPr>
        <w:pStyle w:val="4"/>
        <w:numPr>
          <w:ilvl w:val="1"/>
          <w:numId w:val="0"/>
        </w:numPr>
        <w:spacing w:before="0" w:after="0"/>
        <w:jc w:val="both"/>
        <w:rPr>
          <w:rFonts w:ascii="仿宋" w:hAnsi="仿宋" w:eastAsia="仿宋" w:cs="仿宋"/>
          <w:color w:val="auto"/>
          <w:highlight w:val="none"/>
        </w:rPr>
      </w:pPr>
      <w:bookmarkStart w:id="11" w:name="_Toc31761"/>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.3客户服务部（门诊部）、体检部、财务部（含挂号收费）、出住院处、药学部、消毒供应室、高压氧科、静配中心、内镜室等辅助类科室绩效评价方案设计</w:t>
      </w:r>
      <w:bookmarkEnd w:id="11"/>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对以上类型科室，根据历史绩效水平和工作量，利用6-12个月的数据回归测算，测定每个工作项目（无医疗项目收费）的点数和点价格，并充分考虑与医护技科室的绩效工资水平差距，尊重历史绩效工资水平合理分配。</w:t>
      </w:r>
    </w:p>
    <w:p>
      <w:pPr>
        <w:pStyle w:val="4"/>
        <w:numPr>
          <w:ilvl w:val="1"/>
          <w:numId w:val="0"/>
        </w:numPr>
        <w:spacing w:before="0" w:after="0"/>
        <w:jc w:val="both"/>
        <w:rPr>
          <w:rFonts w:hint="eastAsia" w:ascii="仿宋" w:hAnsi="仿宋" w:eastAsia="仿宋" w:cs="仿宋"/>
          <w:color w:val="auto"/>
          <w:highlight w:val="none"/>
          <w:lang w:eastAsia="zh-CN"/>
        </w:rPr>
      </w:pPr>
      <w:bookmarkStart w:id="12" w:name="_Toc21200"/>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.4科室直接成本管控方案设计</w:t>
      </w:r>
      <w:bookmarkEnd w:id="12"/>
    </w:p>
    <w:p>
      <w:pPr>
        <w:ind w:firstLine="560"/>
        <w:jc w:val="both"/>
        <w:rPr>
          <w:rFonts w:ascii="仿宋_GB2312" w:eastAsia="仿宋_GB2312"/>
          <w:color w:val="auto"/>
          <w:sz w:val="28"/>
          <w:szCs w:val="28"/>
          <w:highlight w:val="none"/>
        </w:rPr>
      </w:pPr>
      <w:r>
        <w:rPr>
          <w:rFonts w:hint="eastAsia" w:ascii="仿宋" w:hAnsi="仿宋" w:eastAsia="仿宋" w:cs="仿宋"/>
          <w:color w:val="auto"/>
          <w:sz w:val="28"/>
          <w:szCs w:val="24"/>
          <w:highlight w:val="none"/>
        </w:rPr>
        <w:t>所有核算单元以直接成本做为管理口径，绩效方案设计要把直接成本全部纳入绩效工资核算管理，包含房屋折旧、人力成本、设备折旧等直接固定成本，包含卫生材料、药品、办公用品、医辅部门发生的费用等直接变动成本。同时能够提取</w:t>
      </w:r>
      <w:r>
        <w:rPr>
          <w:rFonts w:hint="eastAsia" w:ascii="仿宋" w:hAnsi="仿宋" w:eastAsia="仿宋" w:cs="仿宋"/>
          <w:color w:val="auto"/>
          <w:sz w:val="28"/>
          <w:szCs w:val="28"/>
          <w:highlight w:val="none"/>
        </w:rPr>
        <w:t>医技科室预约时长</w:t>
      </w:r>
      <w:r>
        <w:rPr>
          <w:rFonts w:hint="eastAsia" w:ascii="仿宋" w:hAnsi="仿宋" w:eastAsia="仿宋" w:cs="仿宋"/>
          <w:color w:val="auto"/>
          <w:sz w:val="28"/>
          <w:szCs w:val="24"/>
          <w:highlight w:val="none"/>
        </w:rPr>
        <w:t>、大型设备使用率、手术室计时成本等数据</w:t>
      </w:r>
      <w:r>
        <w:rPr>
          <w:rFonts w:hint="eastAsia" w:ascii="仿宋" w:hAnsi="仿宋" w:eastAsia="仿宋" w:cs="仿宋"/>
          <w:color w:val="auto"/>
          <w:sz w:val="28"/>
          <w:szCs w:val="28"/>
          <w:highlight w:val="none"/>
        </w:rPr>
        <w:t>，纳入成本核算。</w:t>
      </w:r>
      <w:r>
        <w:rPr>
          <w:rFonts w:hint="eastAsia" w:ascii="仿宋" w:hAnsi="仿宋" w:eastAsia="仿宋" w:cs="仿宋"/>
          <w:color w:val="auto"/>
          <w:sz w:val="28"/>
          <w:szCs w:val="24"/>
          <w:highlight w:val="none"/>
        </w:rPr>
        <w:t>同时应把医院现有的物流系统区分为可收费和不可收费两部分卫生材料，在此基础上再区分为高值耗材与低值耗材两部分材料进行成本管控，</w:t>
      </w:r>
      <w:r>
        <w:rPr>
          <w:rFonts w:hint="eastAsia" w:ascii="仿宋_GB2312" w:eastAsia="仿宋_GB2312"/>
          <w:color w:val="auto"/>
          <w:sz w:val="28"/>
          <w:szCs w:val="28"/>
          <w:highlight w:val="none"/>
        </w:rPr>
        <w:t>达到精细化成本管理、控制成本开支的目的。</w:t>
      </w:r>
    </w:p>
    <w:p>
      <w:pPr>
        <w:pStyle w:val="4"/>
        <w:numPr>
          <w:ilvl w:val="1"/>
          <w:numId w:val="0"/>
        </w:numPr>
        <w:spacing w:before="0" w:after="0"/>
        <w:jc w:val="both"/>
        <w:rPr>
          <w:rFonts w:hint="eastAsia" w:ascii="仿宋" w:hAnsi="仿宋" w:eastAsia="仿宋" w:cs="仿宋"/>
          <w:color w:val="auto"/>
          <w:highlight w:val="yellow"/>
          <w:lang w:eastAsia="zh-CN"/>
        </w:rPr>
      </w:pPr>
      <w:bookmarkStart w:id="13" w:name="_Toc17488"/>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.5 DIP绩效方案设计</w:t>
      </w:r>
      <w:bookmarkEnd w:id="13"/>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8"/>
          <w:highlight w:val="none"/>
        </w:rPr>
        <w:t>利用DIP测算结果结合RBRVS工作量进行绩效核算，将DIP病历组合指数CMI值纳入RBRVS绩效奖金核算，通过病种对应的临床路径或DIP组对应的多个临床路径进行标准化，计算临床路径中所有项目的RBRVS点值，产生一个基准点值或者平均RBRVS点值，再根据控费的要求，使得绩效产生导向作用。同时利用时间和费用消耗指数、低风险组死亡率、总权重RW、入组病例数、CMI值等指标对医疗服务效率、均衡发展、医疗服务能力和质量安全等方面评价并与考核挂钩。</w:t>
      </w:r>
    </w:p>
    <w:p>
      <w:pPr>
        <w:pStyle w:val="4"/>
        <w:numPr>
          <w:ilvl w:val="1"/>
          <w:numId w:val="0"/>
        </w:numPr>
        <w:spacing w:before="0" w:after="0"/>
        <w:jc w:val="both"/>
        <w:rPr>
          <w:rFonts w:hint="eastAsia" w:ascii="仿宋" w:hAnsi="仿宋" w:eastAsia="仿宋" w:cs="仿宋"/>
          <w:color w:val="auto"/>
          <w:highlight w:val="none"/>
          <w:lang w:eastAsia="zh-CN"/>
        </w:rPr>
      </w:pPr>
      <w:bookmarkStart w:id="14" w:name="_Toc1311891436"/>
      <w:bookmarkStart w:id="15" w:name="_Toc11718"/>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.6三级公立医院绩效考核方案设计</w:t>
      </w:r>
      <w:bookmarkEnd w:id="14"/>
      <w:bookmarkEnd w:id="15"/>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4"/>
          <w:highlight w:val="none"/>
        </w:rPr>
        <w:t>根据医院总的发展战略目标，依据国家《三级公立医院绩效考核指标》，提供三级公立医院绩效考核方案设计，方案要满足国家政策要求。</w:t>
      </w:r>
    </w:p>
    <w:p>
      <w:pPr>
        <w:pStyle w:val="4"/>
        <w:numPr>
          <w:ilvl w:val="1"/>
          <w:numId w:val="0"/>
        </w:numPr>
        <w:spacing w:before="0" w:after="0"/>
        <w:jc w:val="both"/>
        <w:rPr>
          <w:rFonts w:ascii="仿宋" w:hAnsi="仿宋" w:eastAsia="仿宋" w:cs="仿宋"/>
          <w:color w:val="auto"/>
          <w:highlight w:val="none"/>
        </w:rPr>
      </w:pPr>
      <w:bookmarkStart w:id="16" w:name="_Toc6642"/>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.7 KPI关键考核指标方案设计</w:t>
      </w:r>
      <w:bookmarkEnd w:id="16"/>
    </w:p>
    <w:p>
      <w:pPr>
        <w:pStyle w:val="2"/>
        <w:ind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对各核算单元的嵌入关键考核指标，提供指导意见。</w:t>
      </w:r>
    </w:p>
    <w:p>
      <w:pPr>
        <w:pStyle w:val="2"/>
        <w:ind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可以为全院各类别科室设计基于KPI的关键业绩指标绩效考核方案，要求考核项符合“SMART”原则，考核负责人，考核周期，数据提供，考核标准，得分方法清晰准确。科室质控员在绩效分配方案上要体现出来科室二次分配时给予一定的点数倾斜，促进科室质控工作。</w:t>
      </w:r>
    </w:p>
    <w:p>
      <w:pPr>
        <w:pStyle w:val="4"/>
        <w:numPr>
          <w:ilvl w:val="1"/>
          <w:numId w:val="0"/>
        </w:numPr>
        <w:spacing w:before="0" w:after="0"/>
        <w:jc w:val="both"/>
        <w:rPr>
          <w:rFonts w:ascii="仿宋" w:hAnsi="仿宋" w:eastAsia="仿宋" w:cs="仿宋"/>
          <w:color w:val="auto"/>
          <w:highlight w:val="none"/>
        </w:rPr>
      </w:pPr>
      <w:bookmarkStart w:id="17" w:name="_Toc29811"/>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.8科室二次分配指导意见方案设计</w:t>
      </w:r>
      <w:bookmarkEnd w:id="17"/>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4"/>
          <w:highlight w:val="none"/>
        </w:rPr>
        <w:t>（1）提供二次分配指导意见方案。指导各核算单元在基于本方案指导意见的基础上，综合考虑工作量、工作质量、贡献程度、岗位、风险、职称等因素制定符合</w:t>
      </w:r>
      <w:r>
        <w:rPr>
          <w:rFonts w:hint="eastAsia" w:ascii="仿宋" w:hAnsi="仿宋" w:eastAsia="仿宋" w:cs="仿宋"/>
          <w:color w:val="auto"/>
          <w:spacing w:val="-2"/>
          <w:sz w:val="28"/>
          <w:szCs w:val="24"/>
          <w:highlight w:val="none"/>
        </w:rPr>
        <w:t>本核算单元实际情况的二次分配方案，避免平均分配。</w:t>
      </w:r>
      <w:r>
        <w:rPr>
          <w:rFonts w:hint="eastAsia" w:ascii="仿宋" w:hAnsi="仿宋" w:eastAsia="仿宋" w:cs="仿宋"/>
          <w:color w:val="auto"/>
          <w:sz w:val="28"/>
          <w:szCs w:val="24"/>
          <w:highlight w:val="none"/>
        </w:rPr>
        <w:t>各科室可通过软件系统把二次分配方案上传至绩效管理部门、财务部门，审核后发放。</w:t>
      </w:r>
    </w:p>
    <w:p>
      <w:pPr>
        <w:ind w:firstLine="56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（2）通过第三方绩效考核机构配套的信息软件，工作量等基础数据通过系统自动取数，减少人工环节；工作量科内精细到组，结合质量、带教、管理等贡献因素，设计考核评分表，</w:t>
      </w:r>
      <w:r>
        <w:rPr>
          <w:rFonts w:hint="eastAsia" w:ascii="仿宋_GB2312" w:eastAsia="仿宋_GB2312"/>
          <w:color w:val="auto"/>
          <w:sz w:val="28"/>
          <w:szCs w:val="28"/>
          <w:highlight w:val="none"/>
          <w:lang w:val="en-US" w:eastAsia="zh-CN"/>
        </w:rPr>
        <w:t>作</w:t>
      </w:r>
      <w:r>
        <w:rPr>
          <w:rFonts w:hint="eastAsia" w:ascii="仿宋_GB2312" w:eastAsia="仿宋_GB2312"/>
          <w:color w:val="auto"/>
          <w:sz w:val="28"/>
          <w:szCs w:val="28"/>
          <w:highlight w:val="none"/>
        </w:rPr>
        <w:t>为科内二次分配的依据。</w:t>
      </w:r>
    </w:p>
    <w:p>
      <w:pPr>
        <w:ind w:firstLine="56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（3）医院对科室分配情况进行督查，结果予以通报并以质控分形式体现。</w:t>
      </w:r>
    </w:p>
    <w:p>
      <w:pPr>
        <w:pStyle w:val="4"/>
        <w:numPr>
          <w:ilvl w:val="1"/>
          <w:numId w:val="0"/>
        </w:numPr>
        <w:spacing w:before="0" w:after="0"/>
        <w:jc w:val="both"/>
        <w:rPr>
          <w:rFonts w:ascii="仿宋" w:hAnsi="仿宋" w:eastAsia="仿宋" w:cs="仿宋"/>
          <w:color w:val="auto"/>
          <w:highlight w:val="none"/>
        </w:rPr>
      </w:pPr>
      <w:bookmarkStart w:id="18" w:name="_Toc32211"/>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.9行管后勤科室绩效方案设计</w:t>
      </w:r>
      <w:bookmarkEnd w:id="18"/>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为提升医院精细化管理水平，建立一套符合公立医院行业特性的行政后勤绩效分配和考核体系方案，要与整体考核相一致，采取定量与定性相结合的方式进行考核。依据医院的实际情况，渐进性的推进各相关部门的绩效改革。渐次增加考核指标、考核范</w:t>
      </w:r>
      <w:r>
        <w:rPr>
          <w:rFonts w:hint="eastAsia" w:ascii="仿宋" w:hAnsi="仿宋" w:eastAsia="仿宋" w:cs="仿宋"/>
          <w:b w:val="0"/>
          <w:bCs w:val="0"/>
          <w:color w:val="auto"/>
          <w:sz w:val="28"/>
          <w:szCs w:val="28"/>
          <w:highlight w:val="none"/>
        </w:rPr>
        <w:t>围，</w:t>
      </w:r>
      <w:r>
        <w:rPr>
          <w:rFonts w:hint="eastAsia" w:ascii="仿宋" w:hAnsi="仿宋" w:eastAsia="仿宋" w:cs="仿宋"/>
          <w:b w:val="0"/>
          <w:bCs w:val="0"/>
          <w:color w:val="auto"/>
          <w:sz w:val="28"/>
          <w:szCs w:val="28"/>
          <w:highlight w:val="none"/>
          <w:lang w:val="en-US" w:eastAsia="zh-CN"/>
        </w:rPr>
        <w:t>将人力成本、办公用品、办公用房等指标逐步纳入绩效方案设计，</w:t>
      </w:r>
      <w:r>
        <w:rPr>
          <w:rFonts w:hint="eastAsia" w:ascii="仿宋" w:hAnsi="仿宋" w:eastAsia="仿宋" w:cs="仿宋"/>
          <w:b w:val="0"/>
          <w:bCs w:val="0"/>
          <w:color w:val="auto"/>
          <w:sz w:val="28"/>
          <w:szCs w:val="28"/>
          <w:highlight w:val="none"/>
        </w:rPr>
        <w:t>加大考核</w:t>
      </w:r>
      <w:r>
        <w:rPr>
          <w:rFonts w:hint="eastAsia" w:ascii="仿宋" w:hAnsi="仿宋" w:eastAsia="仿宋" w:cs="仿宋"/>
          <w:color w:val="auto"/>
          <w:sz w:val="28"/>
          <w:szCs w:val="28"/>
          <w:highlight w:val="none"/>
        </w:rPr>
        <w:t>结果与报酬之间的关联度，建立岗位评价的依据。如在指标分解上，使用目标管理法，关键指标考核方法、平衡计分卡等。</w:t>
      </w:r>
    </w:p>
    <w:p>
      <w:pPr>
        <w:ind w:firstLine="56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对于职能部门的组织评价，配合医院做好定编定岗定责工作，采用岗位排列法（重要度系数法）等评价方法，利用量表将调研结果进行统计学的处理，设计绩效分配方案。</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19" w:name="_Toc30012"/>
      <w:r>
        <w:rPr>
          <w:rFonts w:hint="eastAsia" w:ascii="仿宋" w:hAnsi="仿宋" w:eastAsia="仿宋" w:cs="仿宋"/>
          <w:color w:val="auto"/>
          <w:highlight w:val="none"/>
          <w:lang w:val="en-US" w:eastAsia="zh-CN"/>
        </w:rPr>
        <w:t>3.10科研、教学、学科建设等专项绩效方案设计</w:t>
      </w:r>
      <w:bookmarkEnd w:id="19"/>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4"/>
          <w:highlight w:val="none"/>
        </w:rPr>
        <w:t>对于科研</w:t>
      </w:r>
      <w:r>
        <w:rPr>
          <w:rFonts w:hint="eastAsia" w:ascii="仿宋" w:hAnsi="仿宋" w:eastAsia="仿宋" w:cs="仿宋"/>
          <w:color w:val="auto"/>
          <w:sz w:val="28"/>
          <w:szCs w:val="24"/>
          <w:highlight w:val="none"/>
          <w:lang w:eastAsia="zh-CN"/>
        </w:rPr>
        <w:t>、</w:t>
      </w:r>
      <w:r>
        <w:rPr>
          <w:rFonts w:hint="eastAsia" w:ascii="仿宋" w:hAnsi="仿宋" w:eastAsia="仿宋" w:cs="仿宋"/>
          <w:color w:val="auto"/>
          <w:sz w:val="28"/>
          <w:szCs w:val="24"/>
          <w:highlight w:val="none"/>
        </w:rPr>
        <w:t>教学</w:t>
      </w:r>
      <w:r>
        <w:rPr>
          <w:rFonts w:hint="eastAsia" w:ascii="仿宋" w:hAnsi="仿宋" w:eastAsia="仿宋" w:cs="仿宋"/>
          <w:color w:val="auto"/>
          <w:sz w:val="28"/>
          <w:szCs w:val="24"/>
          <w:highlight w:val="none"/>
          <w:lang w:eastAsia="zh-CN"/>
        </w:rPr>
        <w:t>、</w:t>
      </w:r>
      <w:r>
        <w:rPr>
          <w:rFonts w:hint="eastAsia" w:ascii="仿宋" w:hAnsi="仿宋" w:eastAsia="仿宋" w:cs="仿宋"/>
          <w:b w:val="0"/>
          <w:bCs w:val="0"/>
          <w:color w:val="auto"/>
          <w:sz w:val="28"/>
          <w:szCs w:val="24"/>
          <w:highlight w:val="none"/>
          <w:lang w:val="en-US" w:eastAsia="zh-CN"/>
        </w:rPr>
        <w:t>学科建设</w:t>
      </w:r>
      <w:r>
        <w:rPr>
          <w:rFonts w:hint="eastAsia" w:ascii="仿宋" w:hAnsi="仿宋" w:eastAsia="仿宋" w:cs="仿宋"/>
          <w:b w:val="0"/>
          <w:bCs w:val="0"/>
          <w:color w:val="auto"/>
          <w:sz w:val="28"/>
          <w:szCs w:val="24"/>
          <w:highlight w:val="none"/>
        </w:rPr>
        <w:t>绩效</w:t>
      </w:r>
      <w:r>
        <w:rPr>
          <w:rFonts w:hint="eastAsia" w:ascii="仿宋" w:hAnsi="仿宋" w:eastAsia="仿宋" w:cs="仿宋"/>
          <w:color w:val="auto"/>
          <w:sz w:val="28"/>
          <w:szCs w:val="24"/>
          <w:highlight w:val="none"/>
        </w:rPr>
        <w:t>方案设计要给出绩效总量的设定方法，结合医院实际，制定符合医院科研发展目标的评价体系。</w:t>
      </w:r>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4"/>
          <w:highlight w:val="none"/>
        </w:rPr>
        <w:t>对于科研采用KPI多维度评价方法，根据医院的发展目标和要求指定不同的客观评价指标。设计方法主要从科研项目，学术论文及论著，科研成果，科研管理四个维度展开，充分评价医院的科研能力。使用MBO、KPI与OKR（过程管理）相结合，科研教学能力评价要具有科学性、可行性，有效体现医院的激励导向，加速实现既定目标。</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0" w:name="_Toc31187"/>
      <w:r>
        <w:rPr>
          <w:rFonts w:hint="eastAsia" w:ascii="仿宋" w:hAnsi="仿宋" w:eastAsia="仿宋" w:cs="仿宋"/>
          <w:color w:val="auto"/>
          <w:highlight w:val="none"/>
          <w:lang w:val="en-US" w:eastAsia="zh-CN"/>
        </w:rPr>
        <w:t>3.11手术专项绩效评价方案设计</w:t>
      </w:r>
      <w:bookmarkEnd w:id="20"/>
    </w:p>
    <w:p>
      <w:pPr>
        <w:ind w:firstLine="560"/>
        <w:jc w:val="both"/>
        <w:rPr>
          <w:rFonts w:hint="eastAsia" w:ascii="仿宋" w:hAnsi="仿宋" w:eastAsia="仿宋" w:cs="仿宋"/>
          <w:color w:val="auto"/>
          <w:sz w:val="28"/>
          <w:szCs w:val="24"/>
          <w:highlight w:val="none"/>
        </w:rPr>
      </w:pPr>
      <w:r>
        <w:rPr>
          <w:rFonts w:hint="eastAsia" w:ascii="仿宋" w:hAnsi="仿宋" w:eastAsia="仿宋" w:cs="仿宋"/>
          <w:b w:val="0"/>
          <w:bCs w:val="0"/>
          <w:color w:val="auto"/>
          <w:sz w:val="28"/>
          <w:szCs w:val="24"/>
          <w:highlight w:val="none"/>
        </w:rPr>
        <w:t>根据</w:t>
      </w:r>
      <w:r>
        <w:rPr>
          <w:rFonts w:hint="eastAsia" w:ascii="仿宋" w:hAnsi="仿宋" w:eastAsia="仿宋" w:cs="仿宋"/>
          <w:b w:val="0"/>
          <w:bCs w:val="0"/>
          <w:color w:val="auto"/>
          <w:sz w:val="28"/>
          <w:szCs w:val="24"/>
          <w:highlight w:val="none"/>
          <w:lang w:val="en-US" w:eastAsia="zh-CN"/>
        </w:rPr>
        <w:t>国家分级、医院分级进行手术级别认定，结合</w:t>
      </w:r>
      <w:r>
        <w:rPr>
          <w:rFonts w:hint="eastAsia" w:ascii="仿宋" w:hAnsi="仿宋" w:eastAsia="仿宋" w:cs="仿宋"/>
          <w:b w:val="0"/>
          <w:bCs w:val="0"/>
          <w:color w:val="auto"/>
          <w:sz w:val="28"/>
          <w:szCs w:val="24"/>
          <w:highlight w:val="none"/>
        </w:rPr>
        <w:t>医院实际情况，对手术进行单项绩效评价方案设计，利用历史数据和医院预期，针对不同科室类型，疾病复杂程度不同，</w:t>
      </w:r>
      <w:r>
        <w:rPr>
          <w:rFonts w:hint="eastAsia" w:ascii="仿宋" w:hAnsi="仿宋" w:eastAsia="仿宋" w:cs="仿宋"/>
          <w:b w:val="0"/>
          <w:bCs w:val="0"/>
          <w:color w:val="auto"/>
          <w:sz w:val="28"/>
          <w:szCs w:val="24"/>
          <w:highlight w:val="none"/>
          <w:lang w:val="en-US" w:eastAsia="zh-CN"/>
        </w:rPr>
        <w:t>日间手术，</w:t>
      </w:r>
      <w:r>
        <w:rPr>
          <w:rFonts w:hint="eastAsia" w:ascii="仿宋" w:hAnsi="仿宋" w:eastAsia="仿宋" w:cs="仿宋"/>
          <w:color w:val="auto"/>
          <w:sz w:val="28"/>
          <w:szCs w:val="24"/>
          <w:highlight w:val="none"/>
        </w:rPr>
        <w:t>服务人次数量等情况，进行基数测定，对手术难度和台次等多维度进行增量评价和激励。</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1" w:name="_Toc31564"/>
      <w:r>
        <w:rPr>
          <w:rFonts w:hint="eastAsia" w:ascii="仿宋" w:hAnsi="仿宋" w:eastAsia="仿宋" w:cs="仿宋"/>
          <w:color w:val="auto"/>
          <w:highlight w:val="none"/>
          <w:lang w:val="en-US" w:eastAsia="zh-CN"/>
        </w:rPr>
        <w:t>3.12新项目、新技术专项绩效方案设计</w:t>
      </w:r>
      <w:bookmarkEnd w:id="21"/>
    </w:p>
    <w:p>
      <w:pPr>
        <w:ind w:firstLine="560"/>
        <w:jc w:val="both"/>
      </w:pPr>
      <w:r>
        <w:rPr>
          <w:rFonts w:hint="eastAsia" w:ascii="仿宋" w:hAnsi="仿宋" w:eastAsia="仿宋" w:cs="仿宋"/>
          <w:b w:val="0"/>
          <w:bCs w:val="0"/>
          <w:color w:val="auto"/>
          <w:sz w:val="28"/>
          <w:szCs w:val="24"/>
          <w:highlight w:val="none"/>
        </w:rPr>
        <w:t>鼓励开展新项目、新技术，促进医院高质量发展。结合医院实际情况，对新项目、新技术专项设计绩效评价方案，要求方案科学严谨，具有较好的激励效果。</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2" w:name="_Toc6674"/>
      <w:r>
        <w:rPr>
          <w:rFonts w:hint="eastAsia" w:ascii="仿宋" w:hAnsi="仿宋" w:eastAsia="仿宋" w:cs="仿宋"/>
          <w:color w:val="auto"/>
          <w:highlight w:val="none"/>
          <w:lang w:val="en-US" w:eastAsia="zh-CN"/>
        </w:rPr>
        <w:t>3.13多学科诊疗绩效方案</w:t>
      </w:r>
      <w:bookmarkEnd w:id="22"/>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4"/>
          <w:highlight w:val="none"/>
        </w:rPr>
        <w:t>一方面MDT融合多学科专家，整合各学科优势医疗资源，为患者提供高效的医疗服务；然而另一方面，MDT也存在门诊接诊时间长，效率低，以及医疗资源消耗大等问题。</w:t>
      </w:r>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4"/>
          <w:highlight w:val="none"/>
        </w:rPr>
        <w:t>因MDT的发展受到诸多因素的阻碍，对医院管理者而言，建立科学的MDT绩效考核机制，不仅能有效激励医院内部员工的积极性，提高医师的参与度；还能促进多学科间的交流与合作，进而提升医院的综合竞争力，产生更高的社会效益和经济效益。为了提升大家对MDT的参与度，可通过采用工作效率、医疗质量、服务质量、科研教学服务度和患者满意度5个指标建立MDT的绩效考核体系，并对主诊科室与医师进行单项绩效奖励。然后，按照MDT方案实施过程中，各协作科室的实际工作量转换成工作量点数，由主诊科室进行二次分配。</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3" w:name="_Toc8539"/>
      <w:r>
        <w:rPr>
          <w:rFonts w:hint="eastAsia" w:ascii="仿宋" w:hAnsi="仿宋" w:eastAsia="仿宋" w:cs="仿宋"/>
          <w:color w:val="auto"/>
          <w:highlight w:val="none"/>
          <w:lang w:val="en-US" w:eastAsia="zh-CN"/>
        </w:rPr>
        <w:t>3.1</w:t>
      </w:r>
      <w:bookmarkStart w:id="24" w:name="_Hlk161058995"/>
      <w:r>
        <w:rPr>
          <w:rFonts w:hint="eastAsia" w:ascii="仿宋" w:hAnsi="仿宋" w:eastAsia="仿宋" w:cs="仿宋"/>
          <w:color w:val="auto"/>
          <w:highlight w:val="none"/>
          <w:lang w:val="en-US" w:eastAsia="zh-CN"/>
        </w:rPr>
        <w:t>4全科医学绩效方案设计</w:t>
      </w:r>
      <w:bookmarkEnd w:id="23"/>
    </w:p>
    <w:bookmarkEnd w:id="24"/>
    <w:p>
      <w:pPr>
        <w:pStyle w:val="2"/>
        <w:ind w:firstLine="560" w:firstLineChars="200"/>
        <w:jc w:val="both"/>
        <w:rPr>
          <w:rFonts w:ascii="仿宋" w:hAnsi="仿宋" w:eastAsia="仿宋" w:cs="仿宋"/>
          <w:color w:val="auto"/>
          <w:szCs w:val="24"/>
          <w:highlight w:val="none"/>
        </w:rPr>
      </w:pPr>
      <w:r>
        <w:rPr>
          <w:rFonts w:hint="eastAsia" w:ascii="仿宋" w:hAnsi="仿宋" w:eastAsia="仿宋" w:cs="仿宋"/>
          <w:color w:val="auto"/>
          <w:szCs w:val="24"/>
          <w:highlight w:val="none"/>
        </w:rPr>
        <w:t>基于全科医学的岗位特征，设计符合政策需要，兼顾医务人员工作积极性的绩效方案。</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5" w:name="_Toc14622"/>
      <w:r>
        <w:rPr>
          <w:rFonts w:hint="eastAsia" w:ascii="仿宋" w:hAnsi="仿宋" w:eastAsia="仿宋" w:cs="仿宋"/>
          <w:color w:val="auto"/>
          <w:highlight w:val="none"/>
          <w:lang w:val="en-US" w:eastAsia="zh-CN"/>
        </w:rPr>
        <w:t>3.15药学部、临床药理基地评价方案设计</w:t>
      </w:r>
      <w:bookmarkEnd w:id="25"/>
    </w:p>
    <w:p>
      <w:pPr>
        <w:ind w:firstLine="560"/>
        <w:jc w:val="both"/>
        <w:rPr>
          <w:rFonts w:ascii="仿宋" w:hAnsi="仿宋" w:eastAsia="仿宋" w:cs="仿宋"/>
          <w:b/>
          <w:bCs/>
          <w:color w:val="auto"/>
          <w:sz w:val="30"/>
          <w:szCs w:val="32"/>
          <w:highlight w:val="none"/>
        </w:rPr>
      </w:pPr>
      <w:r>
        <w:rPr>
          <w:rFonts w:hint="eastAsia" w:ascii="仿宋_GB2312" w:hAnsi="仿宋_GB2312" w:eastAsia="仿宋_GB2312" w:cs="Times New Roman"/>
          <w:color w:val="auto"/>
          <w:kern w:val="0"/>
          <w:sz w:val="28"/>
          <w:szCs w:val="28"/>
          <w:highlight w:val="none"/>
        </w:rPr>
        <w:t>根据《药物临床试验质量管理规范》的有关规定，并结合我院药物临床试验的实际运行情况，使用海氏三要素法或美世国际法等要素工具，结合国内先进经验，建立量化岗位系数，并依据平衡积分卡、KPI、MBO等工具，对药物（器械）临床试验经费的分配进行设计，制定临床药理基地绩效分配方案，实现药理基地绩效核算手段信息化。</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6" w:name="_Toc8108"/>
      <w:r>
        <w:rPr>
          <w:rFonts w:hint="eastAsia" w:ascii="仿宋" w:hAnsi="仿宋" w:eastAsia="仿宋" w:cs="仿宋"/>
          <w:color w:val="auto"/>
          <w:highlight w:val="none"/>
          <w:lang w:val="en-US" w:eastAsia="zh-CN"/>
        </w:rPr>
        <w:t>3.16医院工资总额管控方案设计</w:t>
      </w:r>
      <w:bookmarkEnd w:id="26"/>
    </w:p>
    <w:p>
      <w:pPr>
        <w:ind w:firstLine="560"/>
        <w:jc w:val="both"/>
        <w:rPr>
          <w:rFonts w:ascii="仿宋_GB2312" w:hAnsi="仿宋" w:eastAsia="仿宋_GB2312" w:cs="仿宋"/>
          <w:b/>
          <w:bCs/>
          <w:color w:val="auto"/>
          <w:sz w:val="28"/>
          <w:szCs w:val="28"/>
          <w:highlight w:val="none"/>
        </w:rPr>
      </w:pPr>
      <w:r>
        <w:rPr>
          <w:rFonts w:hint="eastAsia" w:ascii="仿宋_GB2312" w:eastAsia="仿宋_GB2312"/>
          <w:color w:val="auto"/>
          <w:sz w:val="28"/>
          <w:szCs w:val="28"/>
          <w:highlight w:val="none"/>
        </w:rPr>
        <w:t>根据医院年度工资总额预算与医院运行状况，结合医院的经济指标、医保指标、工作量指标等数据，采用同类比较或增长率预测等常用方法，确定医院的发放额度，与医院预算软件、人力资源等系统对接，以实现对医院工资总额进行管控。</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7" w:name="_Toc32367"/>
      <w:r>
        <w:rPr>
          <w:rFonts w:hint="eastAsia" w:ascii="仿宋" w:hAnsi="仿宋" w:eastAsia="仿宋" w:cs="仿宋"/>
          <w:color w:val="auto"/>
          <w:highlight w:val="none"/>
          <w:lang w:val="en-US" w:eastAsia="zh-CN"/>
        </w:rPr>
        <w:t>3.17绩效以及运营数据分析</w:t>
      </w:r>
      <w:bookmarkEnd w:id="27"/>
    </w:p>
    <w:p>
      <w:pPr>
        <w:spacing w:line="240" w:lineRule="auto"/>
        <w:ind w:firstLine="560"/>
        <w:jc w:val="both"/>
        <w:rPr>
          <w:rFonts w:ascii="仿宋_GB2312" w:hAnsi="仿宋_GB2312" w:eastAsia="仿宋_GB2312" w:cs="Times New Roman"/>
          <w:color w:val="auto"/>
          <w:kern w:val="0"/>
          <w:sz w:val="28"/>
          <w:szCs w:val="28"/>
          <w:highlight w:val="none"/>
        </w:rPr>
      </w:pPr>
      <w:r>
        <w:rPr>
          <w:rFonts w:hint="eastAsia" w:ascii="仿宋_GB2312" w:hAnsi="仿宋_GB2312" w:eastAsia="仿宋_GB2312" w:cs="Times New Roman"/>
          <w:color w:val="auto"/>
          <w:kern w:val="0"/>
          <w:sz w:val="28"/>
          <w:szCs w:val="28"/>
          <w:highlight w:val="none"/>
        </w:rPr>
        <w:t>以运营管理视角，为医院各级、各类管理者提供一个跨职能的业务数据、财务数据融合分析软件工具。集成利用医院各业务系统、管理系统产生的数据，在业务建模的基础上，对医院、科系、科室、班组等业务和管理数据深入分析，为使用者快速的发现经营中存在的问题、挖掘潜在增长点和优化空间、推广应用成功的管理策略提供支撑。</w:t>
      </w:r>
    </w:p>
    <w:p>
      <w:pPr>
        <w:ind w:firstLine="56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收集、分析医院内部发展战略规划以及区域医疗服务发展相关的资料，为医院发展提供合理化建议。</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8" w:name="_Toc5903"/>
      <w:r>
        <w:rPr>
          <w:rFonts w:hint="eastAsia" w:ascii="仿宋" w:hAnsi="仿宋" w:eastAsia="仿宋" w:cs="仿宋"/>
          <w:color w:val="auto"/>
          <w:highlight w:val="none"/>
          <w:lang w:val="en-US" w:eastAsia="zh-CN"/>
        </w:rPr>
        <w:t>3.18科主任、护士长及职能科室负责人绩效评价方案设计</w:t>
      </w:r>
      <w:bookmarkEnd w:id="28"/>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4"/>
          <w:highlight w:val="none"/>
        </w:rPr>
        <w:t>对科主任、护士长及职能科室负责人绩效评价提供指导意见及实施方案，需要充分体现中层干部的管理职能，需要综合考虑科个人基础工作量、科室运营、医疗质量、学科建设、人才队伍建设、医疗安全、院内评价等综合因素，建立短期及中长期目标管理考核体系。</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29" w:name="_Toc10725"/>
      <w:r>
        <w:rPr>
          <w:rFonts w:hint="eastAsia" w:ascii="仿宋" w:hAnsi="仿宋" w:eastAsia="仿宋" w:cs="仿宋"/>
          <w:color w:val="auto"/>
          <w:highlight w:val="none"/>
          <w:lang w:val="en-US" w:eastAsia="zh-CN"/>
        </w:rPr>
        <w:t>3.19引进专家绩效方案设计及取数口径</w:t>
      </w:r>
      <w:bookmarkEnd w:id="29"/>
    </w:p>
    <w:p>
      <w:pPr>
        <w:ind w:firstLine="560"/>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根据现有的引进专家绩效方案进行方案优化设计，以医院发展目标为导向，兼顾岗位价值和工作量，设计科学的岗位评价要素和绩效方案。</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30" w:name="_Toc10476"/>
      <w:r>
        <w:rPr>
          <w:rFonts w:hint="eastAsia" w:ascii="仿宋" w:hAnsi="仿宋" w:eastAsia="仿宋" w:cs="仿宋"/>
          <w:color w:val="auto"/>
          <w:highlight w:val="none"/>
          <w:lang w:val="en-US" w:eastAsia="zh-CN"/>
        </w:rPr>
        <w:t>3.20指令性任务专项绩效方案设计</w:t>
      </w:r>
      <w:bookmarkEnd w:id="30"/>
    </w:p>
    <w:p>
      <w:pPr>
        <w:ind w:firstLine="560"/>
        <w:jc w:val="both"/>
        <w:rPr>
          <w:highlight w:val="none"/>
        </w:rPr>
      </w:pPr>
      <w:r>
        <w:rPr>
          <w:rFonts w:hint="eastAsia" w:ascii="仿宋" w:hAnsi="仿宋" w:eastAsia="仿宋" w:cs="仿宋"/>
          <w:color w:val="auto"/>
          <w:sz w:val="28"/>
          <w:szCs w:val="24"/>
          <w:highlight w:val="none"/>
        </w:rPr>
        <w:t>各类上级部门指派的指令性及保障性医疗任务，由医务部及运营部核定层次，按任务工作难易度、完成数量、完成时间等，设计</w:t>
      </w:r>
      <w:r>
        <w:rPr>
          <w:rFonts w:hint="eastAsia" w:ascii="仿宋" w:hAnsi="仿宋" w:eastAsia="仿宋" w:cs="仿宋"/>
          <w:color w:val="auto"/>
          <w:sz w:val="28"/>
          <w:szCs w:val="24"/>
          <w:highlight w:val="none"/>
          <w:lang w:val="en-US" w:eastAsia="zh-CN"/>
        </w:rPr>
        <w:t>专项</w:t>
      </w:r>
      <w:r>
        <w:rPr>
          <w:rFonts w:hint="eastAsia" w:ascii="仿宋" w:hAnsi="仿宋" w:eastAsia="仿宋" w:cs="仿宋"/>
          <w:color w:val="auto"/>
          <w:sz w:val="28"/>
          <w:szCs w:val="24"/>
          <w:highlight w:val="none"/>
        </w:rPr>
        <w:t>绩效方案，充分体现医院公益性。</w:t>
      </w:r>
    </w:p>
    <w:p>
      <w:pPr>
        <w:pStyle w:val="4"/>
        <w:numPr>
          <w:ilvl w:val="1"/>
          <w:numId w:val="0"/>
        </w:numPr>
        <w:spacing w:before="0" w:after="0"/>
        <w:jc w:val="both"/>
        <w:rPr>
          <w:rFonts w:hint="eastAsia" w:ascii="仿宋" w:hAnsi="仿宋" w:eastAsia="仿宋" w:cs="仿宋"/>
          <w:color w:val="auto"/>
          <w:highlight w:val="none"/>
          <w:lang w:val="en-US" w:eastAsia="zh-CN"/>
        </w:rPr>
      </w:pPr>
      <w:bookmarkStart w:id="31" w:name="_Toc23596"/>
      <w:r>
        <w:rPr>
          <w:rFonts w:hint="eastAsia" w:ascii="仿宋" w:hAnsi="仿宋" w:eastAsia="仿宋" w:cs="仿宋"/>
          <w:color w:val="auto"/>
          <w:highlight w:val="none"/>
          <w:lang w:val="en-US" w:eastAsia="zh-CN"/>
        </w:rPr>
        <w:t>3.21其他绩效方案设计</w:t>
      </w:r>
      <w:bookmarkEnd w:id="31"/>
    </w:p>
    <w:p>
      <w:pPr>
        <w:ind w:firstLine="560"/>
        <w:jc w:val="both"/>
        <w:rPr>
          <w:rFonts w:ascii="仿宋" w:hAnsi="仿宋" w:eastAsia="仿宋" w:cs="仿宋"/>
          <w:color w:val="auto"/>
          <w:sz w:val="28"/>
          <w:szCs w:val="24"/>
          <w:highlight w:val="none"/>
        </w:rPr>
      </w:pPr>
      <w:r>
        <w:rPr>
          <w:rFonts w:hint="eastAsia" w:ascii="仿宋" w:hAnsi="仿宋" w:eastAsia="仿宋" w:cs="仿宋"/>
          <w:color w:val="auto"/>
          <w:sz w:val="28"/>
          <w:szCs w:val="24"/>
          <w:highlight w:val="none"/>
        </w:rPr>
        <w:t>在项目实施过程中，根据政策调整、调研结果、实际运行情况及需求，针对新增板块讨论确定后提供绩效方案设计。</w:t>
      </w:r>
    </w:p>
    <w:p>
      <w:pPr>
        <w:pStyle w:val="3"/>
        <w:numPr>
          <w:ilvl w:val="0"/>
          <w:numId w:val="0"/>
        </w:numPr>
        <w:spacing w:before="0" w:after="0"/>
        <w:rPr>
          <w:rFonts w:hint="eastAsia" w:ascii="黑体" w:hAnsi="黑体" w:eastAsia="黑体" w:cs="黑体"/>
          <w:b w:val="0"/>
          <w:bCs w:val="0"/>
          <w:color w:val="auto"/>
          <w:szCs w:val="32"/>
          <w:highlight w:val="none"/>
          <w:lang w:val="en-US" w:eastAsia="zh-CN"/>
        </w:rPr>
      </w:pPr>
      <w:bookmarkStart w:id="32" w:name="_Toc27806"/>
      <w:r>
        <w:rPr>
          <w:rFonts w:hint="eastAsia" w:ascii="黑体" w:hAnsi="黑体" w:eastAsia="黑体" w:cs="黑体"/>
          <w:b w:val="0"/>
          <w:bCs w:val="0"/>
          <w:color w:val="auto"/>
          <w:szCs w:val="32"/>
          <w:highlight w:val="none"/>
          <w:lang w:val="en-US" w:eastAsia="zh-CN"/>
        </w:rPr>
        <w:t>四、医院绩效考核管理软件系统</w:t>
      </w:r>
      <w:bookmarkEnd w:id="32"/>
    </w:p>
    <w:p>
      <w:pPr>
        <w:pStyle w:val="4"/>
        <w:keepNext w:val="0"/>
        <w:keepLines w:val="0"/>
        <w:numPr>
          <w:ilvl w:val="1"/>
          <w:numId w:val="0"/>
        </w:numPr>
        <w:spacing w:before="0" w:after="0"/>
        <w:rPr>
          <w:rFonts w:ascii="仿宋" w:hAnsi="仿宋" w:eastAsia="仿宋" w:cs="仿宋"/>
          <w:color w:val="auto"/>
          <w:highlight w:val="none"/>
        </w:rPr>
      </w:pPr>
      <w:bookmarkStart w:id="33" w:name="_Toc19238"/>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.1技术规格</w:t>
      </w:r>
      <w:bookmarkEnd w:id="33"/>
    </w:p>
    <w:p>
      <w:pPr>
        <w:ind w:firstLine="562"/>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系统架构：采用 SpringBoot，MyBatis，MVC分层开发，采用Spring的声明式事务，前端框架为ExtJS4.3。</w:t>
      </w:r>
    </w:p>
    <w:p>
      <w:pPr>
        <w:ind w:firstLine="562"/>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开发语言：软件系统开发语言为Java8。</w:t>
      </w:r>
    </w:p>
    <w:p>
      <w:pPr>
        <w:ind w:firstLine="562"/>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rPr>
        <w:t>系统运行：系统内嵌Tomcat8.0服务。通过Chrome、Edge等浏览器进行访问。支持使用SQLServer2014R2EnterpriseEdition及以上、MySQL数据库</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达梦数据库</w:t>
      </w:r>
      <w:r>
        <w:rPr>
          <w:rFonts w:hint="eastAsia" w:ascii="仿宋" w:hAnsi="仿宋" w:eastAsia="仿宋" w:cs="仿宋"/>
          <w:b w:val="0"/>
          <w:bCs w:val="0"/>
          <w:color w:val="auto"/>
          <w:sz w:val="28"/>
          <w:szCs w:val="28"/>
          <w:highlight w:val="none"/>
          <w:lang w:val="en-US" w:eastAsia="zh-CN"/>
        </w:rPr>
        <w:t>或人大金仓</w:t>
      </w:r>
      <w:r>
        <w:rPr>
          <w:rFonts w:hint="eastAsia" w:ascii="仿宋" w:hAnsi="仿宋" w:eastAsia="仿宋" w:cs="仿宋"/>
          <w:b w:val="0"/>
          <w:bCs w:val="0"/>
          <w:color w:val="auto"/>
          <w:sz w:val="28"/>
          <w:szCs w:val="28"/>
          <w:highlight w:val="none"/>
        </w:rPr>
        <w:t>。建议操作系统WindowsServer2003／2008／2012Enterprise32／64Edition及以上，或者Linux系统如Centos7</w:t>
      </w:r>
      <w:r>
        <w:rPr>
          <w:rFonts w:hint="eastAsia" w:ascii="仿宋" w:hAnsi="仿宋" w:eastAsia="仿宋" w:cs="仿宋"/>
          <w:b w:val="0"/>
          <w:bCs w:val="0"/>
          <w:color w:val="auto"/>
          <w:sz w:val="28"/>
          <w:szCs w:val="28"/>
          <w:highlight w:val="none"/>
          <w:lang w:val="en-US" w:eastAsia="zh-CN"/>
        </w:rPr>
        <w:t>及以上</w:t>
      </w:r>
      <w:r>
        <w:rPr>
          <w:rFonts w:hint="eastAsia" w:ascii="仿宋" w:hAnsi="仿宋" w:eastAsia="仿宋" w:cs="仿宋"/>
          <w:b w:val="0"/>
          <w:bCs w:val="0"/>
          <w:color w:val="auto"/>
          <w:sz w:val="28"/>
          <w:szCs w:val="28"/>
          <w:highlight w:val="none"/>
        </w:rPr>
        <w:t>、欧拉，或者银河麒麟V10。建议服务器配置鲲鹏服务器等。系统相关软硬件及数据库确保能满足上级相关信创要求，提供规范的运行环境。</w:t>
      </w:r>
    </w:p>
    <w:p>
      <w:pPr>
        <w:pStyle w:val="4"/>
        <w:numPr>
          <w:ilvl w:val="1"/>
          <w:numId w:val="0"/>
        </w:numPr>
        <w:rPr>
          <w:rFonts w:hint="eastAsia" w:ascii="仿宋" w:hAnsi="仿宋" w:eastAsia="仿宋" w:cs="仿宋"/>
          <w:color w:val="auto"/>
          <w:highlight w:val="none"/>
          <w:lang w:eastAsia="zh-CN"/>
        </w:rPr>
      </w:pPr>
      <w:bookmarkStart w:id="34" w:name="_Toc5284"/>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.2绩效软件功能</w:t>
      </w:r>
      <w:r>
        <w:rPr>
          <w:rFonts w:hint="eastAsia" w:ascii="仿宋" w:hAnsi="仿宋" w:eastAsia="仿宋" w:cs="仿宋"/>
          <w:color w:val="auto"/>
          <w:highlight w:val="none"/>
          <w:lang w:eastAsia="zh-CN"/>
        </w:rPr>
        <w:t>需求</w:t>
      </w:r>
      <w:bookmarkEnd w:id="34"/>
    </w:p>
    <w:tbl>
      <w:tblPr>
        <w:tblStyle w:val="29"/>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1785"/>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一级功能</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二级功能</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restart"/>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系统操作</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登录</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用户输入账户登录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退出</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用户注销当前状态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修改密码</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用户修改自己的密码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系统通知</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其他用户或者系统发送消息给用户，用户可通过弹窗查看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tcPr>
          <w:p>
            <w:pPr>
              <w:pStyle w:val="63"/>
              <w:spacing w:before="136" w:line="220" w:lineRule="auto"/>
              <w:ind w:firstLine="0" w:firstLineChars="0"/>
              <w:jc w:val="left"/>
              <w:rPr>
                <w:rFonts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rPr>
              <w:t>流程引擎</w:t>
            </w:r>
          </w:p>
        </w:tc>
        <w:tc>
          <w:tcPr>
            <w:tcW w:w="5017" w:type="dxa"/>
            <w:shd w:val="clear" w:color="auto" w:fill="auto"/>
          </w:tcPr>
          <w:p>
            <w:pPr>
              <w:pStyle w:val="63"/>
              <w:spacing w:before="136" w:line="220" w:lineRule="auto"/>
              <w:ind w:firstLine="0" w:firstLineChars="0"/>
              <w:jc w:val="left"/>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流程控制，确保用户在绩效核算之前完成所有必要步骤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一次指引</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图形方式指引用户完成绩效核算和操作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restart"/>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一次评价分配</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一次评价计算</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按照点数、规则、公式计算一次分配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RVU点数维护</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维护RBRVS项目的基准点数和科室特殊点数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核算模型管理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设置每个核算单元的公式、规则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手工数据管理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绩效计算所需要的部分特殊数据，支持进行手工填写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手工数据审核</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对录入的手工数据进行审核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restart"/>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二次评价分配</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科室分配项目</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科室可自行设置绩效二次分配的名目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科室绩效分配</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科室按照设置的二次分配项目自行发放绩效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科室分配审核</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科主任对科室二次分配项目进行审核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医院分配项目</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医院层面直接发放到个人的绩效项目可在此设置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医院计发分配</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按照医院分配项目，由医院层面直接录入发放金额，并且计税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医院计发审核</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对医院发放项目及金额进行审核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restart"/>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专项绩效评价</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专项绩效查询</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查询各项专项绩效的结果，并进行归档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shd w:val="clear" w:color="auto" w:fill="auto"/>
            <w:noWrap/>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专项绩效管理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管理各项专项绩效，包括新增、数据配置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shd w:val="clear" w:color="auto" w:fill="auto"/>
            <w:noWrap/>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参数维护</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维护核算专项绩效的各项参数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restart"/>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成本数据</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成本科目维护</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设置成本科目字典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成本数据管理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成本数据录入、导入、导出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成本数据审核</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对成本数据审核或驳回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restart"/>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指标管理</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指标管理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KPI指标模板的维护、指标分配到科室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指标录入</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打分科室为各个核算单元进行打分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得分计算</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对打分结果进行审核，并且计算出总分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得分查询</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科室查询各自KPI的目标值、考核制以及对应得分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目标值管理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维护不同核算单元的指标的目标值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restart"/>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人事信息</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员工信息管理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全院员工个人信息的维护，可设置其对应HIS工号等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员工月查询</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按月归档员工信息的查询，以及逐条信息的修改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岗位字典</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设置院内岗位字典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职称字典</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设置院内职称字典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行政职务字典</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设置院内行政职务字典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护理能级字典</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设置院内护理能级字典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restart"/>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组织架构管理</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核算单元管理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核算单元的设置，及其关联HIS科室的对应关系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发放单元管理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在核算单元上层设置发放单元，维护发放单元和核算单元的对应关系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按照院内科室级别设置，创建科室字典，并且创建科室和核算单元的对应关系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医疗组管理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设置全部医疗组，并建立医疗组和科室、核算单元的对应关系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restart"/>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数据汇总分析</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表格数据分析</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可对所有后台表格设置查询条件，并进行检索。支持数据导出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数据采集情况</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监控数据采集的执行情况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表格数据维护</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依照条件查询某些表格数据，并可直接对数据进行编辑和修改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点数明细查询</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科室查询各自奖金规则的收费明细项，并支持明细数据下载功能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科室后台明细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可以配置查询模板并一键调用，通过不同的条件组合，查询或汇总统计科室及个人的费用、工作量点数、项目数量等信息，类似于Excel的透视图。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运营管理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数据分析的相关模块，可打开分析报表，或者执行各种系统级别的任务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restart"/>
            <w:shd w:val="clear" w:color="auto" w:fill="auto"/>
            <w:noWrap/>
            <w:vAlign w:val="center"/>
          </w:tcPr>
          <w:p>
            <w:pPr>
              <w:pStyle w:val="40"/>
              <w:spacing w:line="240" w:lineRule="auto"/>
              <w:rPr>
                <w:rFonts w:ascii="仿宋" w:hAnsi="仿宋" w:eastAsia="仿宋" w:cs="仿宋"/>
                <w:color w:val="auto"/>
                <w:highlight w:val="none"/>
              </w:rPr>
            </w:pPr>
            <w:r>
              <w:rPr>
                <w:rFonts w:hint="eastAsia" w:ascii="仿宋" w:hAnsi="仿宋" w:eastAsia="仿宋" w:cs="仿宋"/>
                <w:color w:val="auto"/>
                <w:highlight w:val="none"/>
              </w:rPr>
              <w:t>权限控制</w:t>
            </w: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用户管理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维护用户信息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权限管理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维护权限信息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角色管理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维护角色信息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菜单管理</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维护菜单信息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96" w:type="dxa"/>
            <w:vMerge w:val="continue"/>
            <w:vAlign w:val="center"/>
          </w:tcPr>
          <w:p>
            <w:pPr>
              <w:pStyle w:val="40"/>
              <w:rPr>
                <w:rFonts w:ascii="仿宋" w:hAnsi="仿宋" w:eastAsia="仿宋" w:cs="仿宋"/>
                <w:color w:val="auto"/>
                <w:highlight w:val="none"/>
              </w:rPr>
            </w:pPr>
          </w:p>
        </w:tc>
        <w:tc>
          <w:tcPr>
            <w:tcW w:w="1785" w:type="dxa"/>
            <w:shd w:val="clear" w:color="auto" w:fill="auto"/>
            <w:noWrap/>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用户科室访问权限</w:t>
            </w:r>
          </w:p>
        </w:tc>
        <w:tc>
          <w:tcPr>
            <w:tcW w:w="5017" w:type="dxa"/>
            <w:shd w:val="clear" w:color="auto" w:fill="auto"/>
            <w:vAlign w:val="center"/>
          </w:tcPr>
          <w:p>
            <w:pPr>
              <w:pStyle w:val="40"/>
              <w:rPr>
                <w:rFonts w:ascii="仿宋" w:hAnsi="仿宋" w:eastAsia="仿宋" w:cs="仿宋"/>
                <w:color w:val="auto"/>
                <w:highlight w:val="none"/>
              </w:rPr>
            </w:pPr>
            <w:r>
              <w:rPr>
                <w:rFonts w:hint="eastAsia" w:ascii="仿宋" w:hAnsi="仿宋" w:eastAsia="仿宋" w:cs="仿宋"/>
                <w:color w:val="auto"/>
                <w:highlight w:val="none"/>
              </w:rPr>
              <w:t>设置用户可在不同模块访问不同核算单元</w:t>
            </w:r>
          </w:p>
        </w:tc>
      </w:tr>
    </w:tbl>
    <w:p>
      <w:pPr>
        <w:pStyle w:val="4"/>
        <w:numPr>
          <w:ilvl w:val="1"/>
          <w:numId w:val="0"/>
        </w:numPr>
        <w:spacing w:before="0" w:after="0"/>
        <w:rPr>
          <w:rFonts w:ascii="仿宋" w:hAnsi="仿宋" w:eastAsia="仿宋" w:cs="仿宋"/>
          <w:color w:val="auto"/>
          <w:highlight w:val="none"/>
        </w:rPr>
      </w:pPr>
      <w:bookmarkStart w:id="35" w:name="_Toc2771"/>
      <w:bookmarkStart w:id="36" w:name="_Toc54518049"/>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.3运营数据集成分析系统</w:t>
      </w:r>
      <w:r>
        <w:rPr>
          <w:rFonts w:hint="eastAsia" w:ascii="仿宋" w:hAnsi="仿宋" w:eastAsia="仿宋" w:cs="仿宋"/>
        </w:rPr>
        <w:t>技术要求</w:t>
      </w:r>
      <w:bookmarkEnd w:id="35"/>
    </w:p>
    <w:p>
      <w:pPr>
        <w:ind w:firstLine="56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1）业务系统、管理系统数据的集成、导入、清洗功能</w:t>
      </w:r>
      <w:r>
        <w:rPr>
          <w:rFonts w:hint="eastAsia" w:ascii="仿宋" w:hAnsi="仿宋" w:eastAsia="仿宋" w:cs="仿宋"/>
          <w:color w:val="auto"/>
          <w:sz w:val="28"/>
          <w:szCs w:val="28"/>
          <w:highlight w:val="none"/>
          <w:lang w:eastAsia="zh-CN"/>
        </w:rPr>
        <w:t>。</w:t>
      </w:r>
    </w:p>
    <w:p>
      <w:pPr>
        <w:ind w:firstLine="56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2）预设丰富的运行效率、业务结构、财务结构分析模型和指标，对常见运营指标，系统内置行业参考基线或标杆值</w:t>
      </w:r>
      <w:r>
        <w:rPr>
          <w:rFonts w:hint="eastAsia" w:ascii="仿宋" w:hAnsi="仿宋" w:eastAsia="仿宋" w:cs="仿宋"/>
          <w:color w:val="auto"/>
          <w:sz w:val="28"/>
          <w:szCs w:val="28"/>
          <w:highlight w:val="none"/>
          <w:lang w:eastAsia="zh-CN"/>
        </w:rPr>
        <w:t>。</w:t>
      </w:r>
    </w:p>
    <w:p>
      <w:pPr>
        <w:ind w:firstLine="56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3）医院全局、科系、科室、班组等的不同组织层级的业务数据和</w:t>
      </w:r>
      <w:r>
        <w:rPr>
          <w:rFonts w:hint="eastAsia" w:ascii="仿宋" w:hAnsi="仿宋" w:eastAsia="仿宋" w:cs="仿宋"/>
          <w:color w:val="auto"/>
          <w:sz w:val="28"/>
          <w:szCs w:val="28"/>
          <w:highlight w:val="none"/>
          <w:lang w:val="en-US" w:eastAsia="zh-CN"/>
        </w:rPr>
        <w:t>财</w:t>
      </w:r>
      <w:r>
        <w:rPr>
          <w:rFonts w:ascii="仿宋" w:hAnsi="仿宋" w:eastAsia="仿宋" w:cs="仿宋"/>
          <w:color w:val="auto"/>
          <w:sz w:val="28"/>
          <w:szCs w:val="28"/>
          <w:highlight w:val="none"/>
        </w:rPr>
        <w:t>务数据结合的调阅、分析功能</w:t>
      </w:r>
      <w:r>
        <w:rPr>
          <w:rFonts w:hint="eastAsia" w:ascii="仿宋" w:hAnsi="仿宋" w:eastAsia="仿宋" w:cs="仿宋"/>
          <w:color w:val="auto"/>
          <w:sz w:val="28"/>
          <w:szCs w:val="28"/>
          <w:highlight w:val="none"/>
          <w:lang w:eastAsia="zh-CN"/>
        </w:rPr>
        <w:t>。</w:t>
      </w:r>
    </w:p>
    <w:p>
      <w:pPr>
        <w:ind w:firstLine="56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关键经济、效率、工作量、质量指标在本院内部、跨医院之间的横向对比分析功能(要求提供跨科室的10个以上指标在同界面的对比分析)</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支持按经济、工作量、质量等主题设置分析路径</w:t>
      </w:r>
      <w:r>
        <w:rPr>
          <w:rFonts w:hint="eastAsia" w:ascii="仿宋" w:hAnsi="仿宋" w:eastAsia="仿宋" w:cs="仿宋"/>
          <w:color w:val="auto"/>
          <w:sz w:val="28"/>
          <w:szCs w:val="28"/>
          <w:highlight w:val="none"/>
          <w:lang w:eastAsia="zh-CN"/>
        </w:rPr>
        <w:t>。</w:t>
      </w:r>
    </w:p>
    <w:p>
      <w:pPr>
        <w:ind w:firstLine="56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5）依据医院需求和可提供的历史数据，提供可自定义的时间维度(年、季、月、天等)</w:t>
      </w:r>
      <w:r>
        <w:rPr>
          <w:rFonts w:hint="eastAsia" w:ascii="仿宋" w:hAnsi="仿宋" w:eastAsia="仿宋" w:cs="仿宋"/>
          <w:color w:val="auto"/>
          <w:sz w:val="28"/>
          <w:szCs w:val="28"/>
          <w:highlight w:val="none"/>
          <w:lang w:eastAsia="zh-CN"/>
        </w:rPr>
        <w:t>，</w:t>
      </w:r>
      <w:r>
        <w:rPr>
          <w:rFonts w:ascii="仿宋" w:hAnsi="仿宋" w:eastAsia="仿宋" w:cs="仿宋"/>
          <w:color w:val="auto"/>
          <w:sz w:val="28"/>
          <w:szCs w:val="28"/>
          <w:highlight w:val="none"/>
        </w:rPr>
        <w:t>依据医院需求和可提供的历史数据颗粒度，提供可具体到某类或某个诊疗、收费项目数据的分析功能</w:t>
      </w:r>
      <w:r>
        <w:rPr>
          <w:rFonts w:hint="eastAsia" w:ascii="仿宋" w:hAnsi="仿宋" w:eastAsia="仿宋" w:cs="仿宋"/>
          <w:color w:val="auto"/>
          <w:sz w:val="28"/>
          <w:szCs w:val="28"/>
          <w:highlight w:val="none"/>
          <w:lang w:eastAsia="zh-CN"/>
        </w:rPr>
        <w:t>。</w:t>
      </w:r>
    </w:p>
    <w:p>
      <w:pPr>
        <w:ind w:firstLine="56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6）提供表格、图形等多形式的数据展示方式</w:t>
      </w:r>
      <w:r>
        <w:rPr>
          <w:rFonts w:hint="eastAsia" w:ascii="仿宋" w:hAnsi="仿宋" w:eastAsia="仿宋" w:cs="仿宋"/>
          <w:color w:val="auto"/>
          <w:sz w:val="28"/>
          <w:szCs w:val="28"/>
          <w:highlight w:val="none"/>
          <w:lang w:eastAsia="zh-CN"/>
        </w:rPr>
        <w:t>，</w:t>
      </w:r>
      <w:r>
        <w:rPr>
          <w:rFonts w:ascii="仿宋" w:hAnsi="仿宋" w:eastAsia="仿宋" w:cs="仿宋"/>
          <w:color w:val="auto"/>
          <w:sz w:val="28"/>
          <w:szCs w:val="28"/>
          <w:highlight w:val="none"/>
        </w:rPr>
        <w:t>相关数据在不同报表间提供纵向逐层下钻功能</w:t>
      </w:r>
      <w:r>
        <w:rPr>
          <w:rFonts w:hint="eastAsia" w:ascii="仿宋" w:hAnsi="仿宋" w:eastAsia="仿宋" w:cs="仿宋"/>
          <w:color w:val="auto"/>
          <w:sz w:val="28"/>
          <w:szCs w:val="28"/>
          <w:highlight w:val="none"/>
          <w:lang w:eastAsia="zh-CN"/>
        </w:rPr>
        <w:t>，</w:t>
      </w:r>
      <w:r>
        <w:rPr>
          <w:rFonts w:ascii="仿宋" w:hAnsi="仿宋" w:eastAsia="仿宋" w:cs="仿宋"/>
          <w:color w:val="auto"/>
          <w:sz w:val="28"/>
          <w:szCs w:val="28"/>
          <w:highlight w:val="none"/>
        </w:rPr>
        <w:t>提供用户对报表的新增和自定义功能</w:t>
      </w:r>
      <w:r>
        <w:rPr>
          <w:rFonts w:hint="eastAsia" w:ascii="仿宋" w:hAnsi="仿宋" w:eastAsia="仿宋" w:cs="仿宋"/>
          <w:color w:val="auto"/>
          <w:sz w:val="28"/>
          <w:szCs w:val="28"/>
          <w:highlight w:val="none"/>
          <w:lang w:eastAsia="zh-CN"/>
        </w:rPr>
        <w:t>，</w:t>
      </w:r>
      <w:r>
        <w:rPr>
          <w:rFonts w:ascii="仿宋" w:hAnsi="仿宋" w:eastAsia="仿宋" w:cs="仿宋"/>
          <w:color w:val="auto"/>
          <w:sz w:val="28"/>
          <w:szCs w:val="28"/>
          <w:highlight w:val="none"/>
        </w:rPr>
        <w:t>提供用户角色和权限管理功能</w:t>
      </w:r>
      <w:r>
        <w:rPr>
          <w:rFonts w:hint="eastAsia" w:ascii="仿宋" w:hAnsi="仿宋" w:eastAsia="仿宋" w:cs="仿宋"/>
          <w:color w:val="auto"/>
          <w:sz w:val="28"/>
          <w:szCs w:val="28"/>
          <w:highlight w:val="none"/>
          <w:lang w:eastAsia="zh-CN"/>
        </w:rPr>
        <w:t>，</w:t>
      </w:r>
      <w:r>
        <w:rPr>
          <w:rFonts w:ascii="仿宋" w:hAnsi="仿宋" w:eastAsia="仿宋" w:cs="仿宋"/>
          <w:color w:val="auto"/>
          <w:sz w:val="28"/>
          <w:szCs w:val="28"/>
          <w:highlight w:val="none"/>
        </w:rPr>
        <w:t>提供各类报表的导出功能</w:t>
      </w:r>
      <w:r>
        <w:rPr>
          <w:rFonts w:hint="eastAsia" w:ascii="仿宋" w:hAnsi="仿宋" w:eastAsia="仿宋" w:cs="仿宋"/>
          <w:color w:val="auto"/>
          <w:sz w:val="28"/>
          <w:szCs w:val="28"/>
          <w:highlight w:val="none"/>
          <w:lang w:eastAsia="zh-CN"/>
        </w:rPr>
        <w:t>，</w:t>
      </w:r>
      <w:r>
        <w:rPr>
          <w:rFonts w:ascii="仿宋" w:hAnsi="仿宋" w:eastAsia="仿宋" w:cs="仿宋"/>
          <w:color w:val="auto"/>
          <w:sz w:val="28"/>
          <w:szCs w:val="28"/>
          <w:highlight w:val="none"/>
        </w:rPr>
        <w:t>外部数据人工录入和导入功能</w:t>
      </w:r>
      <w:r>
        <w:rPr>
          <w:rFonts w:hint="eastAsia" w:ascii="仿宋" w:hAnsi="仿宋" w:eastAsia="仿宋" w:cs="仿宋"/>
          <w:color w:val="auto"/>
          <w:sz w:val="28"/>
          <w:szCs w:val="28"/>
          <w:highlight w:val="none"/>
          <w:lang w:eastAsia="zh-CN"/>
        </w:rPr>
        <w:t>。</w:t>
      </w:r>
    </w:p>
    <w:p>
      <w:pPr>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7）提供全院基础数据初始化功能(部门、科系设置、数据清洗、分类汇总规则等)。</w:t>
      </w:r>
    </w:p>
    <w:p>
      <w:pPr>
        <w:pStyle w:val="4"/>
        <w:numPr>
          <w:ilvl w:val="1"/>
          <w:numId w:val="0"/>
        </w:numPr>
        <w:spacing w:before="0" w:after="0"/>
        <w:rPr>
          <w:rFonts w:ascii="仿宋" w:hAnsi="仿宋" w:eastAsia="仿宋" w:cs="仿宋"/>
          <w:color w:val="auto"/>
          <w:sz w:val="28"/>
          <w:szCs w:val="28"/>
          <w:highlight w:val="none"/>
        </w:rPr>
      </w:pPr>
      <w:bookmarkStart w:id="37" w:name="_Toc27261"/>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.4</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DIP评价与运营分析系统</w:t>
      </w:r>
      <w:r>
        <w:rPr>
          <w:rFonts w:hint="eastAsia" w:ascii="仿宋" w:hAnsi="仿宋" w:eastAsia="仿宋" w:cs="仿宋"/>
        </w:rPr>
        <w:t>技术要求</w:t>
      </w:r>
      <w:bookmarkEnd w:id="37"/>
    </w:p>
    <w:tbl>
      <w:tblPr>
        <w:tblStyle w:val="29"/>
        <w:tblW w:w="8358"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333"/>
        <w:gridCol w:w="1333"/>
        <w:gridCol w:w="569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tcBorders>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一级功能</w:t>
            </w:r>
          </w:p>
        </w:tc>
        <w:tc>
          <w:tcPr>
            <w:tcW w:w="1333" w:type="dxa"/>
            <w:tcBorders>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二级功能</w:t>
            </w:r>
          </w:p>
        </w:tc>
        <w:tc>
          <w:tcPr>
            <w:tcW w:w="5692" w:type="dxa"/>
            <w:tcBorders>
              <w:left w:val="nil"/>
              <w:bottom w:val="single" w:color="auto" w:sz="4" w:space="0"/>
            </w:tcBorders>
            <w:vAlign w:val="center"/>
          </w:tcPr>
          <w:p>
            <w:pPr>
              <w:spacing w:line="240" w:lineRule="auto"/>
              <w:ind w:firstLine="42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功能需求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1" w:hRule="atLeast"/>
          <w:jc w:val="center"/>
        </w:trPr>
        <w:tc>
          <w:tcPr>
            <w:tcW w:w="1333" w:type="dxa"/>
            <w:vMerge w:val="restart"/>
            <w:tcBorders>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DIP基线数据</w:t>
            </w:r>
          </w:p>
        </w:tc>
        <w:tc>
          <w:tcPr>
            <w:tcW w:w="1333" w:type="dxa"/>
            <w:vMerge w:val="restart"/>
            <w:tcBorders>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字典</w:t>
            </w:r>
          </w:p>
        </w:tc>
        <w:tc>
          <w:tcPr>
            <w:tcW w:w="5692" w:type="dxa"/>
          </w:tcPr>
          <w:p>
            <w:pPr>
              <w:widowControl/>
              <w:spacing w:line="240" w:lineRule="auto"/>
              <w:ind w:firstLine="0" w:firstLineChars="0"/>
              <w:jc w:val="left"/>
              <w:rPr>
                <w:color w:val="auto"/>
                <w:sz w:val="21"/>
                <w:szCs w:val="21"/>
                <w:highlight w:val="none"/>
              </w:rPr>
            </w:pPr>
            <w:r>
              <w:rPr>
                <w:rFonts w:hint="eastAsia" w:ascii="仿宋" w:hAnsi="仿宋" w:eastAsia="仿宋" w:cs="仿宋"/>
                <w:color w:val="auto"/>
                <w:sz w:val="21"/>
                <w:szCs w:val="21"/>
                <w:highlight w:val="none"/>
              </w:rPr>
              <w:t>提供国家医疗保障院标准的字D</w:t>
            </w:r>
            <w:r>
              <w:rPr>
                <w:rFonts w:ascii="仿宋" w:hAnsi="仿宋" w:eastAsia="仿宋" w:cs="仿宋"/>
                <w:color w:val="auto"/>
                <w:sz w:val="21"/>
                <w:szCs w:val="21"/>
                <w:highlight w:val="none"/>
              </w:rPr>
              <w:t>IP</w:t>
            </w:r>
            <w:r>
              <w:rPr>
                <w:rFonts w:hint="eastAsia" w:ascii="仿宋" w:hAnsi="仿宋" w:eastAsia="仿宋" w:cs="仿宋"/>
                <w:color w:val="auto"/>
                <w:sz w:val="21"/>
                <w:szCs w:val="21"/>
                <w:highlight w:val="none"/>
              </w:rPr>
              <w:t>典以及对应的R</w:t>
            </w:r>
            <w:r>
              <w:rPr>
                <w:rFonts w:ascii="仿宋" w:hAnsi="仿宋" w:eastAsia="仿宋" w:cs="仿宋"/>
                <w:color w:val="auto"/>
                <w:sz w:val="21"/>
                <w:szCs w:val="21"/>
                <w:highlight w:val="none"/>
              </w:rPr>
              <w:t>W</w:t>
            </w:r>
            <w:r>
              <w:rPr>
                <w:rFonts w:hint="eastAsia" w:ascii="仿宋" w:hAnsi="仿宋" w:eastAsia="仿宋" w:cs="仿宋"/>
                <w:color w:val="auto"/>
                <w:sz w:val="21"/>
                <w:szCs w:val="21"/>
                <w:highlight w:val="none"/>
              </w:rPr>
              <w:t>、平均住院日、均次费、药品均次费、材料均次费、风险组等基本信息以及对应的诊断或者操作编码，并可配置关键D</w:t>
            </w:r>
            <w:r>
              <w:rPr>
                <w:rFonts w:ascii="仿宋" w:hAnsi="仿宋" w:eastAsia="仿宋" w:cs="仿宋"/>
                <w:color w:val="auto"/>
                <w:sz w:val="21"/>
                <w:szCs w:val="21"/>
                <w:highlight w:val="none"/>
              </w:rPr>
              <w:t>IP</w:t>
            </w:r>
            <w:r>
              <w:rPr>
                <w:rFonts w:hint="eastAsia" w:ascii="仿宋" w:hAnsi="仿宋" w:eastAsia="仿宋" w:cs="仿宋"/>
                <w:color w:val="auto"/>
                <w:sz w:val="21"/>
                <w:szCs w:val="21"/>
                <w:highlight w:val="none"/>
              </w:rPr>
              <w:t>，其中I</w:t>
            </w:r>
            <w:r>
              <w:rPr>
                <w:rFonts w:ascii="仿宋" w:hAnsi="仿宋" w:eastAsia="仿宋" w:cs="仿宋"/>
                <w:color w:val="auto"/>
                <w:sz w:val="21"/>
                <w:szCs w:val="21"/>
                <w:highlight w:val="none"/>
              </w:rPr>
              <w:t>CD</w:t>
            </w:r>
            <w:r>
              <w:rPr>
                <w:rFonts w:hint="eastAsia" w:ascii="仿宋" w:hAnsi="仿宋" w:eastAsia="仿宋" w:cs="仿宋"/>
                <w:color w:val="auto"/>
                <w:sz w:val="21"/>
                <w:szCs w:val="21"/>
                <w:highlight w:val="none"/>
              </w:rPr>
              <w:t>编码支持国标版和医保版编码。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7"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5692" w:type="dxa"/>
            <w:tcBorders>
              <w:top w:val="nil"/>
              <w:left w:val="nil"/>
              <w:bottom w:val="single" w:color="auto" w:sz="4" w:space="0"/>
            </w:tcBorders>
            <w:vAlign w:val="center"/>
          </w:tcPr>
          <w:p>
            <w:pPr>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提供D</w:t>
            </w:r>
            <w:r>
              <w:rPr>
                <w:rFonts w:ascii="仿宋" w:hAnsi="仿宋" w:eastAsia="仿宋" w:cs="仿宋"/>
                <w:color w:val="auto"/>
                <w:sz w:val="21"/>
                <w:szCs w:val="21"/>
                <w:highlight w:val="none"/>
              </w:rPr>
              <w:t>IP</w:t>
            </w:r>
            <w:r>
              <w:rPr>
                <w:rFonts w:hint="eastAsia" w:ascii="仿宋" w:hAnsi="仿宋" w:eastAsia="仿宋" w:cs="仿宋"/>
                <w:color w:val="auto"/>
                <w:sz w:val="21"/>
                <w:szCs w:val="21"/>
                <w:highlight w:val="none"/>
              </w:rPr>
              <w:t>下的主索引，提供D</w:t>
            </w:r>
            <w:r>
              <w:rPr>
                <w:rFonts w:ascii="仿宋" w:hAnsi="仿宋" w:eastAsia="仿宋" w:cs="仿宋"/>
                <w:color w:val="auto"/>
                <w:sz w:val="21"/>
                <w:szCs w:val="21"/>
                <w:highlight w:val="none"/>
              </w:rPr>
              <w:t>IP</w:t>
            </w:r>
            <w:r>
              <w:rPr>
                <w:rFonts w:hint="eastAsia" w:ascii="仿宋" w:hAnsi="仿宋" w:eastAsia="仿宋" w:cs="仿宋"/>
                <w:color w:val="auto"/>
                <w:sz w:val="21"/>
                <w:szCs w:val="21"/>
                <w:highlight w:val="none"/>
              </w:rPr>
              <w:t>下的一级目录，提供D</w:t>
            </w:r>
            <w:r>
              <w:rPr>
                <w:rFonts w:ascii="仿宋" w:hAnsi="仿宋" w:eastAsia="仿宋" w:cs="仿宋"/>
                <w:color w:val="auto"/>
                <w:sz w:val="21"/>
                <w:szCs w:val="21"/>
                <w:highlight w:val="none"/>
              </w:rPr>
              <w:t>IP</w:t>
            </w:r>
            <w:r>
              <w:rPr>
                <w:rFonts w:hint="eastAsia" w:ascii="仿宋" w:hAnsi="仿宋" w:eastAsia="仿宋" w:cs="仿宋"/>
                <w:color w:val="auto"/>
                <w:sz w:val="21"/>
                <w:szCs w:val="21"/>
                <w:highlight w:val="none"/>
              </w:rPr>
              <w:t>下的二级目录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9" w:hRule="atLeast"/>
          <w:jc w:val="center"/>
        </w:trPr>
        <w:tc>
          <w:tcPr>
            <w:tcW w:w="1333" w:type="dxa"/>
            <w:vMerge w:val="restart"/>
            <w:tcBorders>
              <w:top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病案分组与质控</w:t>
            </w: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DIP自助分组工具</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提供了一个简单的测试分组界面，里面有分组所依赖的各种数据，包括主诊断、其他诊断、主要手术、伴随手术、新生儿和性别等数据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病案分组</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查看病案首页明细以及对应的DIP分组情况，并可根据时间范围生成报表导出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9"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病案质控</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未入组分析:对医院病案首页未入组的记录进行分析，展示未入组的原因，包括关键数据缺失、编码不规范、诊断操作概念泛化、诊断操作不匹配、新生儿问题等等。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1"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已有编码优化：对医院病案首页已有诊断和操作编码进行分析，在符合临床规范的情况下展示出通过切换诊断或者操作的顺序达到更高点值分组的记录，并可展示此优化后对医院或者科室各种指标数据的提升情况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1"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漏写编码优化:对医院收费记录或者医嘱进行分析，找到病案首页中漏写的操作编码，展示通过补上漏写的操作编码可达到更高点值的分组的记录，并可展示优化后对医院或者科室各种指标数据的提升情况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458" w:hRule="atLeast"/>
          <w:jc w:val="center"/>
        </w:trPr>
        <w:tc>
          <w:tcPr>
            <w:tcW w:w="1333" w:type="dxa"/>
            <w:vMerge w:val="restart"/>
            <w:tcBorders>
              <w:top w:val="nil"/>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院内分析</w:t>
            </w: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基础指标分析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过对全院、科室、主诊医生或者其他医院可自定义的单元去分析全部DIP或者可配置关键DIP的各种指标，包括入组率、CMI、产能、入组人次、覆盖组数、时间效率指数、费用效率指数、低风险死亡率、药品指数、材料指数、床日产能、异常率、手术率、四级手术率、微创手术率以及优化后的指标变化等等，其中指标可医院自定义增加，提供效率分析图，病种难度广度图、产能费用效率指数图、产能累进图等，还可以下钻到分析单元下具体DIP指标以及未入组的记录等，这些可通过报表数据导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9" w:hRule="atLeast"/>
          <w:jc w:val="center"/>
        </w:trPr>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指标趋势分析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通过对全院、科室、主诊医生或者其他医院可自定义的单元，分析全部DIP或者关键DIP的各种指标的年份或者月份同比环比的趋势，报表数据可导出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12" w:hRule="atLeast"/>
          <w:jc w:val="center"/>
        </w:trPr>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DIP明细分析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以单个DIP口径进行分析，展示每个DIP发生人次、本院均次费与基线均次费对比、本院平均住院日与基线平均住院日对比，本院药品费与基线药品费对比，本院材料费与基线材料费的对比，另外还可通过对每个DIP分析它在不同科室不同医生下的效率情况，以及对应的分析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RW分布分析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通过对全院、科室、主诊医生或者其他医院可自定义的单元，分析当前单元的DIP的R</w:t>
            </w:r>
            <w:r>
              <w:rPr>
                <w:rFonts w:ascii="仿宋" w:hAnsi="仿宋" w:eastAsia="仿宋" w:cs="仿宋"/>
                <w:color w:val="auto"/>
                <w:sz w:val="21"/>
                <w:szCs w:val="21"/>
                <w:highlight w:val="none"/>
              </w:rPr>
              <w:t>W</w:t>
            </w:r>
            <w:r>
              <w:rPr>
                <w:rFonts w:hint="eastAsia" w:ascii="仿宋" w:hAnsi="仿宋" w:eastAsia="仿宋" w:cs="仿宋"/>
                <w:color w:val="auto"/>
                <w:sz w:val="21"/>
                <w:szCs w:val="21"/>
                <w:highlight w:val="none"/>
              </w:rPr>
              <w:t>分布情况。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9" w:hRule="atLeast"/>
          <w:jc w:val="center"/>
        </w:trPr>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病种结构分析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以DIP为分析口径，分析全院、科室、主诊医生或者其他医院自定义的单元的病种结构分布，以及每个病种科室分布及效率情况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9" w:hRule="atLeast"/>
          <w:jc w:val="center"/>
        </w:trPr>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得分趋势分析</w:t>
            </w:r>
          </w:p>
        </w:tc>
        <w:tc>
          <w:tcPr>
            <w:tcW w:w="5692" w:type="dxa"/>
            <w:tcBorders>
              <w:top w:val="nil"/>
              <w:left w:val="nil"/>
              <w:bottom w:val="single" w:color="auto" w:sz="4" w:space="0"/>
            </w:tcBorders>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通过对全院、科室、主诊医生或者其他医院可自定义的单元，分析能力、效率、安全三维度指标的年份或者月份同比环比的趋势，报表数据可导出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51" w:hRule="atLeast"/>
          <w:jc w:val="center"/>
        </w:trPr>
        <w:tc>
          <w:tcPr>
            <w:tcW w:w="1333" w:type="dxa"/>
            <w:vMerge w:val="continue"/>
            <w:tcBorders>
              <w:top w:val="nil"/>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综合得分分析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通过对全院、科室、主诊医生或者其他医院可自定义的单元，分析当前单元高风险组死亡率、中高风险组死亡率、中低风险组死亡率、低风险组死亡率情况，并可下钻到每个死亡病例的具体情况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35"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专业指标分析</w:t>
            </w:r>
          </w:p>
        </w:tc>
        <w:tc>
          <w:tcPr>
            <w:tcW w:w="5692"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在标准临床专业的口径下，分析医院DIP各种指标数据包括CMI、产能、入组人次、覆盖组数、时间效率指数、费用效率指数、低风险死亡率、药品指数、材料指数、专业指数、床日产能、异常率、手术率、四级手术率、微创手术率以及优化后的指标变化等，其中指标可医院自定义增加，并提供效率分析图，病种难度广度图、产能累进图等等，分析医院各个临床专科的DIP水平。</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专业趋势分析</w:t>
            </w:r>
          </w:p>
        </w:tc>
        <w:tc>
          <w:tcPr>
            <w:tcW w:w="5692" w:type="dxa"/>
            <w:tcBorders>
              <w:top w:val="single" w:color="auto" w:sz="4" w:space="0"/>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分析全部DIP或者关键DIP的各种指标在年份或者月份同比环比的变化情况，报表数据可导出。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12" w:hRule="atLeast"/>
          <w:jc w:val="center"/>
        </w:trPr>
        <w:tc>
          <w:tcPr>
            <w:tcW w:w="1333" w:type="dxa"/>
            <w:vMerge w:val="restart"/>
            <w:tcBorders>
              <w:top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医保支付</w:t>
            </w: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基础支付分析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在已知DIP支付费率的情况下通过对全院、科室、主诊医生或者其他医院可自定义的单元，分析当前单元的医保总人次、入组人次，盈余人次占比、亏损人次占比、人均盈余、总盈余以及优化后的情况等等，并提供各种分析图以及下钻明细功能，并可导出数据报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9"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支付趋势分析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通过对全院、科室、主诊医生或者其他医院可自定义的单元，展示当前单元医保支付各种指标的年份或者月份同比环比的变化情况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DIP明细分析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以单个DIP口径进行分析，展示每个DIP在医保支付情况下的盈亏情况，以及各个科室或者医生的盈亏对比</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专业支付分析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以标准临床专业口径下，分析医院各个专业下医保支付的盈亏情况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专业趋势分析</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以标准临床专业口径下，分析医院各个专业下医保支付在年度或月份同比环比的盈亏变化情况。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restart"/>
            <w:tcBorders>
              <w:top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系统管理</w:t>
            </w: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用户管理</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新建编辑用户各种信息，配置用户权限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重新登录</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重新登录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28" w:hRule="atLeast"/>
          <w:jc w:val="center"/>
        </w:trPr>
        <w:tc>
          <w:tcPr>
            <w:tcW w:w="1333" w:type="dxa"/>
            <w:vMerge w:val="continue"/>
            <w:tcBorders>
              <w:top w:val="nil"/>
              <w:bottom w:val="single" w:color="auto" w:sz="4" w:space="0"/>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密码修改</w:t>
            </w:r>
          </w:p>
        </w:tc>
        <w:tc>
          <w:tcPr>
            <w:tcW w:w="5692" w:type="dxa"/>
            <w:tcBorders>
              <w:top w:val="nil"/>
              <w:left w:val="nil"/>
              <w:bottom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修改密码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33" w:hRule="atLeast"/>
          <w:jc w:val="center"/>
        </w:trPr>
        <w:tc>
          <w:tcPr>
            <w:tcW w:w="1333" w:type="dxa"/>
            <w:vMerge w:val="continue"/>
            <w:tcBorders>
              <w:top w:val="nil"/>
              <w:right w:val="single" w:color="auto" w:sz="4" w:space="0"/>
            </w:tcBorders>
            <w:vAlign w:val="center"/>
          </w:tcPr>
          <w:p>
            <w:pPr>
              <w:spacing w:line="240" w:lineRule="auto"/>
              <w:ind w:firstLine="420"/>
              <w:rPr>
                <w:rFonts w:ascii="仿宋" w:hAnsi="仿宋" w:eastAsia="仿宋" w:cs="仿宋"/>
                <w:color w:val="auto"/>
                <w:sz w:val="21"/>
                <w:szCs w:val="21"/>
                <w:highlight w:val="none"/>
              </w:rPr>
            </w:pPr>
          </w:p>
        </w:tc>
        <w:tc>
          <w:tcPr>
            <w:tcW w:w="1333" w:type="dxa"/>
            <w:tcBorders>
              <w:top w:val="nil"/>
              <w:left w:val="nil"/>
              <w:right w:val="single" w:color="auto" w:sz="4" w:space="0"/>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分组任务</w:t>
            </w:r>
          </w:p>
        </w:tc>
        <w:tc>
          <w:tcPr>
            <w:tcW w:w="5692" w:type="dxa"/>
            <w:tcBorders>
              <w:top w:val="nil"/>
              <w:left w:val="nil"/>
            </w:tcBorders>
            <w:vAlign w:val="center"/>
          </w:tcPr>
          <w:p>
            <w:pPr>
              <w:spacing w:line="240" w:lineRule="auto"/>
              <w:ind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定时配置任务进行DIP分组</w:t>
            </w:r>
          </w:p>
        </w:tc>
      </w:tr>
    </w:tbl>
    <w:p>
      <w:pPr>
        <w:pStyle w:val="4"/>
        <w:numPr>
          <w:ilvl w:val="1"/>
          <w:numId w:val="0"/>
        </w:numPr>
        <w:spacing w:before="0" w:after="0"/>
        <w:rPr>
          <w:rFonts w:ascii="仿宋" w:hAnsi="仿宋" w:eastAsia="仿宋" w:cs="仿宋"/>
          <w:color w:val="auto"/>
          <w:highlight w:val="none"/>
        </w:rPr>
      </w:pPr>
      <w:bookmarkStart w:id="38" w:name="_Toc5710"/>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.5其他软件功能需求</w:t>
      </w:r>
      <w:bookmarkEnd w:id="38"/>
    </w:p>
    <w:p>
      <w:pPr>
        <w:ind w:firstLine="560"/>
        <w:rPr>
          <w:rFonts w:ascii="仿宋_GB2312" w:eastAsia="仿宋_GB2312"/>
          <w:color w:val="auto"/>
          <w:sz w:val="28"/>
          <w:szCs w:val="28"/>
          <w:highlight w:val="none"/>
        </w:rPr>
      </w:pPr>
      <w:r>
        <w:rPr>
          <w:rFonts w:hint="eastAsia" w:ascii="仿宋_GB2312" w:eastAsia="仿宋_GB2312"/>
          <w:color w:val="auto"/>
          <w:sz w:val="28"/>
          <w:szCs w:val="28"/>
          <w:highlight w:val="none"/>
        </w:rPr>
        <w:t>在导入医院基础数据并定义口径后，提供以下各类数据展示及同比、环比及趋势分析，通过字体颜色区分变化程度。时间周期可以自定义，同步提供数据结构图。</w:t>
      </w:r>
    </w:p>
    <w:p>
      <w:pPr>
        <w:ind w:firstLine="560"/>
        <w:rPr>
          <w:rFonts w:ascii="仿宋_GB2312" w:eastAsia="仿宋_GB2312"/>
          <w:color w:val="auto"/>
          <w:sz w:val="28"/>
          <w:szCs w:val="28"/>
          <w:highlight w:val="none"/>
        </w:rPr>
      </w:pPr>
      <w:r>
        <w:rPr>
          <w:rFonts w:ascii="仿宋_GB2312" w:eastAsia="仿宋_GB2312"/>
          <w:color w:val="auto"/>
          <w:sz w:val="28"/>
          <w:szCs w:val="28"/>
          <w:highlight w:val="none"/>
        </w:rPr>
        <w:t>（1）业务量及变化趋势。按科室业务类型不同，可以展示门诊、急诊、住院、手术/日间/三四级手术/四级手术等服务量信息，展示床位使用率、占床日数等与业务量相关的效率和负荷数据</w:t>
      </w:r>
      <w:r>
        <w:rPr>
          <w:rFonts w:hint="eastAsia" w:ascii="仿宋_GB2312" w:eastAsia="仿宋_GB2312"/>
          <w:color w:val="auto"/>
          <w:sz w:val="28"/>
          <w:szCs w:val="28"/>
          <w:highlight w:val="none"/>
        </w:rPr>
        <w:t>。</w:t>
      </w:r>
    </w:p>
    <w:p>
      <w:pPr>
        <w:ind w:firstLine="560"/>
        <w:rPr>
          <w:rFonts w:ascii="仿宋_GB2312" w:eastAsia="仿宋_GB2312"/>
          <w:color w:val="auto"/>
          <w:sz w:val="28"/>
          <w:szCs w:val="28"/>
          <w:highlight w:val="none"/>
        </w:rPr>
      </w:pPr>
      <w:r>
        <w:rPr>
          <w:rFonts w:ascii="仿宋_GB2312" w:eastAsia="仿宋_GB2312"/>
          <w:color w:val="auto"/>
          <w:sz w:val="28"/>
          <w:szCs w:val="28"/>
          <w:highlight w:val="none"/>
        </w:rPr>
        <w:t>（2）收入及主要收入结构变化趋势。展示全科/门诊/住院的收入，并展示全科/门诊/住院收入中的药品、耗材收入占比。</w:t>
      </w:r>
    </w:p>
    <w:p>
      <w:pPr>
        <w:ind w:firstLine="560"/>
        <w:rPr>
          <w:rFonts w:ascii="仿宋_GB2312" w:eastAsia="仿宋_GB2312"/>
          <w:color w:val="auto"/>
          <w:sz w:val="28"/>
          <w:szCs w:val="28"/>
          <w:highlight w:val="none"/>
        </w:rPr>
      </w:pPr>
      <w:r>
        <w:rPr>
          <w:rFonts w:ascii="仿宋_GB2312" w:eastAsia="仿宋_GB2312"/>
          <w:color w:val="auto"/>
          <w:sz w:val="28"/>
          <w:szCs w:val="28"/>
          <w:highlight w:val="none"/>
        </w:rPr>
        <w:t>（3）成本数据及变化趋势。可以根据需求展示全成本、直接成本、绩效评价中使用的成本等口径，并且将成本按科目细分。</w:t>
      </w:r>
    </w:p>
    <w:p>
      <w:pPr>
        <w:ind w:firstLine="560"/>
        <w:rPr>
          <w:rFonts w:ascii="仿宋_GB2312" w:eastAsia="仿宋_GB2312"/>
          <w:color w:val="auto"/>
          <w:sz w:val="28"/>
          <w:szCs w:val="28"/>
          <w:highlight w:val="none"/>
        </w:rPr>
      </w:pPr>
      <w:r>
        <w:rPr>
          <w:rFonts w:ascii="仿宋_GB2312" w:eastAsia="仿宋_GB2312"/>
          <w:color w:val="auto"/>
          <w:sz w:val="28"/>
          <w:szCs w:val="28"/>
          <w:highlight w:val="none"/>
        </w:rPr>
        <w:t>（4）收入构成深入分析。展示全科/门诊/住院的收入中，按收入对科室利润贡献，分出有效收入、非有效收入(药品、材料、血费等)，再分别按收费项目的财务科目、发票类别、医保类别或内部定义的费用类别展示。</w:t>
      </w:r>
    </w:p>
    <w:bookmarkEnd w:id="36"/>
    <w:p>
      <w:pPr>
        <w:pStyle w:val="3"/>
        <w:numPr>
          <w:ilvl w:val="0"/>
          <w:numId w:val="0"/>
        </w:numPr>
        <w:spacing w:before="0" w:after="0"/>
        <w:rPr>
          <w:rFonts w:ascii="黑体" w:hAnsi="黑体" w:eastAsia="黑体" w:cs="黑体"/>
          <w:b w:val="0"/>
          <w:bCs w:val="0"/>
          <w:szCs w:val="32"/>
        </w:rPr>
      </w:pPr>
      <w:bookmarkStart w:id="39" w:name="_Toc15902"/>
      <w:r>
        <w:rPr>
          <w:rFonts w:hint="eastAsia" w:ascii="黑体" w:hAnsi="黑体" w:eastAsia="黑体" w:cs="黑体"/>
          <w:b w:val="0"/>
          <w:bCs w:val="0"/>
          <w:szCs w:val="32"/>
        </w:rPr>
        <w:t>五、项目实施要求</w:t>
      </w:r>
      <w:bookmarkEnd w:id="39"/>
    </w:p>
    <w:p>
      <w:pPr>
        <w:ind w:firstLine="560"/>
        <w:textAlignment w:val="center"/>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实施周期：</w:t>
      </w:r>
      <w:r>
        <w:rPr>
          <w:rFonts w:hint="eastAsia" w:ascii="仿宋" w:hAnsi="仿宋" w:eastAsia="仿宋" w:cs="仿宋"/>
          <w:sz w:val="28"/>
          <w:szCs w:val="28"/>
          <w:lang w:val="en-US" w:eastAsia="zh-CN"/>
        </w:rPr>
        <w:t>8</w:t>
      </w:r>
      <w:r>
        <w:rPr>
          <w:rFonts w:hint="eastAsia" w:ascii="仿宋" w:hAnsi="仿宋" w:eastAsia="仿宋" w:cs="仿宋"/>
          <w:sz w:val="28"/>
          <w:szCs w:val="28"/>
        </w:rPr>
        <w:t>-12个月</w:t>
      </w:r>
    </w:p>
    <w:p>
      <w:pPr>
        <w:ind w:firstLine="560"/>
        <w:textAlignment w:val="center"/>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实施方案：供应商应提供绩效咨询服务和软件系统的实施方案，以及实施组织、管理办法和应急方案等。</w:t>
      </w:r>
    </w:p>
    <w:p>
      <w:pPr>
        <w:ind w:firstLine="560"/>
        <w:rPr>
          <w:rFonts w:hint="eastAsia" w:ascii="仿宋" w:hAnsi="仿宋" w:eastAsia="仿宋" w:cs="仿宋"/>
          <w:kern w:val="44"/>
          <w:sz w:val="28"/>
          <w:szCs w:val="28"/>
        </w:rPr>
      </w:pPr>
      <w:r>
        <w:rPr>
          <w:rFonts w:hint="eastAsia" w:ascii="仿宋" w:hAnsi="仿宋" w:eastAsia="仿宋" w:cs="仿宋"/>
          <w:kern w:val="44"/>
          <w:sz w:val="28"/>
          <w:szCs w:val="28"/>
        </w:rPr>
        <w:t>3</w:t>
      </w:r>
      <w:r>
        <w:rPr>
          <w:rFonts w:hint="eastAsia" w:ascii="仿宋" w:hAnsi="仿宋" w:eastAsia="仿宋" w:cs="仿宋"/>
          <w:kern w:val="44"/>
          <w:sz w:val="28"/>
          <w:szCs w:val="28"/>
          <w:lang w:eastAsia="zh-CN"/>
        </w:rPr>
        <w:t>.</w:t>
      </w:r>
      <w:r>
        <w:rPr>
          <w:rFonts w:hint="eastAsia" w:ascii="仿宋" w:hAnsi="仿宋" w:eastAsia="仿宋" w:cs="仿宋"/>
          <w:kern w:val="44"/>
          <w:sz w:val="28"/>
          <w:szCs w:val="28"/>
        </w:rPr>
        <w:t>实施团队人员要求：</w:t>
      </w:r>
    </w:p>
    <w:p>
      <w:pPr>
        <w:ind w:firstLine="560"/>
        <w:rPr>
          <w:rFonts w:ascii="仿宋" w:hAnsi="仿宋" w:eastAsia="仿宋" w:cs="仿宋"/>
          <w:kern w:val="44"/>
          <w:sz w:val="28"/>
          <w:szCs w:val="28"/>
        </w:rPr>
      </w:pPr>
      <w:r>
        <w:rPr>
          <w:rFonts w:hint="eastAsia" w:ascii="仿宋" w:hAnsi="仿宋" w:eastAsia="仿宋" w:cs="仿宋"/>
          <w:kern w:val="44"/>
          <w:sz w:val="28"/>
          <w:szCs w:val="28"/>
        </w:rPr>
        <w:t>（1）本项目实施期间需要配备至少5名人员的定点团队，其中项目负责人1名，实施团队顾问2名，软件工程师2名。</w:t>
      </w:r>
    </w:p>
    <w:p>
      <w:pPr>
        <w:ind w:firstLine="560"/>
        <w:rPr>
          <w:rFonts w:ascii="仿宋" w:hAnsi="仿宋" w:eastAsia="仿宋" w:cs="仿宋"/>
          <w:kern w:val="44"/>
          <w:sz w:val="28"/>
          <w:szCs w:val="28"/>
        </w:rPr>
      </w:pPr>
      <w:r>
        <w:rPr>
          <w:rFonts w:hint="eastAsia" w:ascii="仿宋" w:hAnsi="仿宋" w:eastAsia="仿宋" w:cs="仿宋"/>
          <w:kern w:val="44"/>
          <w:sz w:val="28"/>
          <w:szCs w:val="28"/>
        </w:rPr>
        <w:t>（2）投标人须保证派驻至少2名工作人员（其中至少1名咨询顾问）常驻医院，负责绩效方案的推进、医院相关科室或者工作人员的解释沟通工作，以及根据科室反馈意见调整方案。</w:t>
      </w:r>
    </w:p>
    <w:p>
      <w:pPr>
        <w:ind w:firstLine="560"/>
        <w:rPr>
          <w:rFonts w:ascii="仿宋" w:hAnsi="仿宋" w:eastAsia="仿宋" w:cs="仿宋"/>
          <w:kern w:val="44"/>
          <w:sz w:val="28"/>
          <w:szCs w:val="28"/>
        </w:rPr>
      </w:pPr>
      <w:bookmarkStart w:id="40" w:name="_Toc161054975"/>
      <w:bookmarkStart w:id="41" w:name="_Toc161058944"/>
      <w:r>
        <w:rPr>
          <w:rFonts w:hint="eastAsia" w:ascii="仿宋" w:hAnsi="仿宋" w:eastAsia="仿宋" w:cs="仿宋"/>
          <w:kern w:val="44"/>
          <w:sz w:val="28"/>
          <w:szCs w:val="28"/>
        </w:rPr>
        <w:t>(3)上述实施顾问至少1名具有本科及以上学历，专业为医学或药学或公卫或护理。</w:t>
      </w:r>
      <w:bookmarkEnd w:id="40"/>
      <w:bookmarkEnd w:id="41"/>
    </w:p>
    <w:p>
      <w:pPr>
        <w:ind w:firstLine="560"/>
        <w:rPr>
          <w:rFonts w:ascii="仿宋" w:hAnsi="仿宋" w:eastAsia="仿宋" w:cs="仿宋"/>
          <w:kern w:val="44"/>
          <w:sz w:val="28"/>
          <w:szCs w:val="28"/>
        </w:rPr>
      </w:pPr>
      <w:bookmarkStart w:id="42" w:name="_Toc161054976"/>
      <w:bookmarkStart w:id="43" w:name="_Toc161058945"/>
      <w:r>
        <w:rPr>
          <w:rFonts w:hint="eastAsia" w:ascii="仿宋" w:hAnsi="仿宋" w:eastAsia="仿宋" w:cs="仿宋"/>
          <w:kern w:val="44"/>
          <w:sz w:val="28"/>
          <w:szCs w:val="28"/>
        </w:rPr>
        <w:t>(4)项目团队</w:t>
      </w:r>
      <w:r>
        <w:rPr>
          <w:rFonts w:hint="eastAsia" w:ascii="仿宋" w:hAnsi="仿宋" w:eastAsia="仿宋" w:cs="仿宋"/>
          <w:kern w:val="44"/>
          <w:sz w:val="28"/>
          <w:szCs w:val="28"/>
          <w:lang w:eastAsia="zh-CN"/>
        </w:rPr>
        <w:t>负责人为</w:t>
      </w:r>
      <w:r>
        <w:rPr>
          <w:rFonts w:hint="eastAsia" w:ascii="仿宋" w:hAnsi="仿宋" w:eastAsia="仿宋" w:cs="仿宋"/>
          <w:kern w:val="44"/>
          <w:sz w:val="28"/>
          <w:szCs w:val="28"/>
        </w:rPr>
        <w:t>资深的医院管理类专家，需要提供该医院管理类专家的行业背景介绍。</w:t>
      </w:r>
      <w:bookmarkEnd w:id="42"/>
      <w:bookmarkEnd w:id="43"/>
    </w:p>
    <w:p>
      <w:pPr>
        <w:ind w:firstLine="560"/>
        <w:rPr>
          <w:rFonts w:ascii="仿宋" w:hAnsi="仿宋" w:eastAsia="仿宋" w:cs="仿宋"/>
          <w:kern w:val="44"/>
          <w:sz w:val="28"/>
          <w:szCs w:val="28"/>
        </w:rPr>
      </w:pPr>
      <w:bookmarkStart w:id="44" w:name="_Toc161058946"/>
      <w:bookmarkStart w:id="45" w:name="_Toc161054977"/>
      <w:r>
        <w:rPr>
          <w:rFonts w:hint="eastAsia" w:ascii="仿宋" w:hAnsi="仿宋" w:eastAsia="仿宋" w:cs="仿宋"/>
          <w:kern w:val="44"/>
          <w:sz w:val="28"/>
          <w:szCs w:val="28"/>
        </w:rPr>
        <w:t>(5)向招标人提供至少2家与招标人采用相同绩效系统的同类别、规模相近的医院参观学习。具体学习时间由招标人确认。</w:t>
      </w:r>
      <w:bookmarkEnd w:id="44"/>
      <w:bookmarkEnd w:id="45"/>
    </w:p>
    <w:p>
      <w:pPr>
        <w:pStyle w:val="3"/>
        <w:numPr>
          <w:ilvl w:val="0"/>
          <w:numId w:val="0"/>
        </w:numPr>
        <w:spacing w:before="0" w:after="0"/>
        <w:rPr>
          <w:rFonts w:ascii="黑体" w:hAnsi="黑体" w:eastAsia="黑体" w:cs="黑体"/>
          <w:b w:val="0"/>
          <w:bCs w:val="0"/>
          <w:szCs w:val="32"/>
        </w:rPr>
      </w:pPr>
      <w:bookmarkStart w:id="46" w:name="_Toc25045"/>
      <w:r>
        <w:rPr>
          <w:rFonts w:hint="eastAsia" w:ascii="黑体" w:hAnsi="黑体" w:eastAsia="黑体" w:cs="黑体"/>
          <w:b w:val="0"/>
          <w:bCs w:val="0"/>
          <w:szCs w:val="32"/>
        </w:rPr>
        <w:t>六、项目控制价及售后服务要求</w:t>
      </w:r>
      <w:bookmarkEnd w:id="46"/>
    </w:p>
    <w:p>
      <w:pPr>
        <w:ind w:firstLine="560"/>
        <w:rPr>
          <w:rFonts w:ascii="仿宋" w:hAnsi="仿宋" w:eastAsia="仿宋" w:cs="仿宋"/>
          <w:sz w:val="28"/>
          <w:szCs w:val="28"/>
        </w:rPr>
      </w:pPr>
      <w:r>
        <w:rPr>
          <w:rFonts w:hint="eastAsia" w:ascii="仿宋" w:hAnsi="仿宋" w:eastAsia="仿宋" w:cs="仿宋"/>
          <w:sz w:val="28"/>
          <w:szCs w:val="28"/>
        </w:rPr>
        <w:t>（一）项目控制价</w:t>
      </w:r>
    </w:p>
    <w:p>
      <w:pPr>
        <w:ind w:firstLine="560"/>
        <w:rPr>
          <w:rFonts w:ascii="仿宋" w:hAnsi="仿宋" w:eastAsia="仿宋" w:cs="仿宋"/>
          <w:sz w:val="28"/>
          <w:szCs w:val="28"/>
        </w:rPr>
      </w:pPr>
      <w:r>
        <w:rPr>
          <w:rFonts w:hint="eastAsia" w:ascii="仿宋" w:hAnsi="仿宋" w:eastAsia="仿宋" w:cs="仿宋"/>
          <w:sz w:val="28"/>
          <w:szCs w:val="28"/>
        </w:rPr>
        <w:t>本项目控制价为</w:t>
      </w:r>
      <w:r>
        <w:rPr>
          <w:rFonts w:hint="eastAsia" w:ascii="仿宋" w:hAnsi="仿宋" w:eastAsia="仿宋" w:cs="仿宋"/>
          <w:sz w:val="28"/>
          <w:szCs w:val="28"/>
          <w:u w:val="single"/>
        </w:rPr>
        <w:t>人民币170万元</w:t>
      </w:r>
      <w:r>
        <w:rPr>
          <w:rFonts w:hint="eastAsia" w:ascii="仿宋" w:hAnsi="仿宋" w:eastAsia="仿宋" w:cs="仿宋"/>
          <w:sz w:val="28"/>
          <w:szCs w:val="28"/>
          <w:u w:val="none"/>
        </w:rPr>
        <w:t>（</w:t>
      </w:r>
      <w:r>
        <w:rPr>
          <w:rFonts w:hint="eastAsia" w:ascii="仿宋" w:hAnsi="仿宋" w:eastAsia="仿宋" w:cs="仿宋"/>
          <w:sz w:val="28"/>
          <w:szCs w:val="28"/>
          <w:lang w:bidi="ar"/>
        </w:rPr>
        <w:t>包含本项目所涉及的所有与第三方系统的接口开发费用</w:t>
      </w:r>
      <w:r>
        <w:rPr>
          <w:rFonts w:hint="eastAsia" w:ascii="仿宋" w:hAnsi="仿宋" w:eastAsia="仿宋" w:cs="仿宋"/>
          <w:sz w:val="28"/>
          <w:szCs w:val="28"/>
        </w:rPr>
        <w:t>）。</w:t>
      </w:r>
    </w:p>
    <w:p>
      <w:pPr>
        <w:ind w:firstLine="560"/>
        <w:rPr>
          <w:rFonts w:ascii="仿宋" w:hAnsi="仿宋" w:eastAsia="仿宋" w:cs="仿宋"/>
          <w:sz w:val="28"/>
          <w:szCs w:val="28"/>
        </w:rPr>
      </w:pPr>
      <w:r>
        <w:rPr>
          <w:rFonts w:hint="eastAsia" w:ascii="仿宋" w:hAnsi="仿宋" w:eastAsia="仿宋" w:cs="仿宋"/>
          <w:sz w:val="28"/>
          <w:szCs w:val="28"/>
        </w:rPr>
        <w:t>（二）售后服务</w:t>
      </w:r>
    </w:p>
    <w:p>
      <w:pPr>
        <w:ind w:firstLine="560"/>
        <w:rPr>
          <w:rFonts w:ascii="仿宋" w:hAnsi="仿宋" w:eastAsia="仿宋" w:cs="仿宋"/>
          <w:sz w:val="28"/>
          <w:szCs w:val="28"/>
        </w:rPr>
      </w:pPr>
      <w:r>
        <w:rPr>
          <w:rFonts w:hint="eastAsia" w:ascii="仿宋" w:hAnsi="仿宋" w:eastAsia="仿宋" w:cs="仿宋"/>
          <w:sz w:val="28"/>
          <w:szCs w:val="28"/>
        </w:rPr>
        <w:t>本项目实施完成验收合格之日起</w:t>
      </w:r>
      <w:r>
        <w:rPr>
          <w:rFonts w:hint="eastAsia" w:ascii="仿宋" w:hAnsi="仿宋" w:eastAsia="仿宋" w:cs="仿宋"/>
          <w:sz w:val="28"/>
          <w:szCs w:val="28"/>
          <w:lang w:val="en-US" w:eastAsia="zh-CN"/>
        </w:rPr>
        <w:t>12-</w:t>
      </w:r>
      <w:r>
        <w:rPr>
          <w:rFonts w:hint="eastAsia" w:ascii="仿宋" w:hAnsi="仿宋" w:eastAsia="仿宋" w:cs="仿宋"/>
          <w:sz w:val="28"/>
          <w:szCs w:val="28"/>
        </w:rPr>
        <w:t>36个月内为免费售后服务期。免费维保期过后每年维保费不高于合同总价的7%，具体金额以审核通过及实际招标</w:t>
      </w:r>
      <w:r>
        <w:rPr>
          <w:rFonts w:hint="eastAsia" w:ascii="仿宋" w:hAnsi="仿宋" w:eastAsia="仿宋" w:cs="仿宋"/>
          <w:sz w:val="28"/>
          <w:szCs w:val="28"/>
          <w:lang w:val="en-US" w:eastAsia="zh-CN"/>
        </w:rPr>
        <w:t>金额</w:t>
      </w:r>
      <w:r>
        <w:rPr>
          <w:rFonts w:hint="eastAsia" w:ascii="仿宋" w:hAnsi="仿宋" w:eastAsia="仿宋" w:cs="仿宋"/>
          <w:sz w:val="28"/>
          <w:szCs w:val="28"/>
        </w:rPr>
        <w:t>7%为准。除此之外，还需提供但不限以下服务内容：</w:t>
      </w:r>
    </w:p>
    <w:p>
      <w:pPr>
        <w:ind w:firstLine="560"/>
        <w:rPr>
          <w:rFonts w:ascii="仿宋" w:hAnsi="仿宋" w:eastAsia="仿宋" w:cs="仿宋"/>
          <w:sz w:val="28"/>
          <w:szCs w:val="28"/>
        </w:rPr>
      </w:pPr>
      <w:r>
        <w:rPr>
          <w:rFonts w:hint="eastAsia" w:ascii="仿宋" w:hAnsi="仿宋" w:eastAsia="仿宋" w:cs="仿宋"/>
          <w:sz w:val="28"/>
          <w:szCs w:val="28"/>
        </w:rPr>
        <w:t>1.系统管理员培训</w:t>
      </w:r>
    </w:p>
    <w:p>
      <w:pPr>
        <w:ind w:firstLine="560"/>
        <w:rPr>
          <w:rFonts w:ascii="仿宋" w:hAnsi="仿宋" w:eastAsia="仿宋" w:cs="仿宋"/>
          <w:sz w:val="28"/>
          <w:szCs w:val="28"/>
        </w:rPr>
      </w:pPr>
      <w:r>
        <w:rPr>
          <w:rFonts w:hint="eastAsia" w:ascii="仿宋" w:hAnsi="仿宋" w:eastAsia="仿宋" w:cs="仿宋"/>
          <w:sz w:val="28"/>
          <w:szCs w:val="28"/>
        </w:rPr>
        <w:t>系统试运行期间，中标人负责为院方免费培训3名系统维护人员，通过培训，使维护人员能熟练规范的进行操作，对一般故障能进行处理和日常维护。</w:t>
      </w:r>
    </w:p>
    <w:p>
      <w:pPr>
        <w:ind w:firstLine="560"/>
        <w:rPr>
          <w:rFonts w:ascii="仿宋" w:hAnsi="仿宋" w:eastAsia="仿宋" w:cs="仿宋"/>
          <w:sz w:val="28"/>
          <w:szCs w:val="28"/>
        </w:rPr>
      </w:pPr>
      <w:r>
        <w:rPr>
          <w:rFonts w:hint="eastAsia" w:ascii="仿宋" w:hAnsi="仿宋" w:eastAsia="仿宋" w:cs="仿宋"/>
          <w:sz w:val="28"/>
          <w:szCs w:val="28"/>
        </w:rPr>
        <w:t>2.远程电话咨询支持</w:t>
      </w:r>
    </w:p>
    <w:p>
      <w:pPr>
        <w:ind w:firstLine="560"/>
        <w:rPr>
          <w:rFonts w:ascii="仿宋" w:hAnsi="仿宋" w:eastAsia="仿宋" w:cs="仿宋"/>
          <w:sz w:val="28"/>
          <w:szCs w:val="28"/>
        </w:rPr>
      </w:pPr>
      <w:r>
        <w:rPr>
          <w:rFonts w:hint="eastAsia" w:ascii="仿宋" w:hAnsi="仿宋" w:eastAsia="仿宋" w:cs="仿宋"/>
          <w:sz w:val="28"/>
          <w:szCs w:val="28"/>
        </w:rPr>
        <w:t>免费提供全天24小时的电话支持服务，解答院方在系统使用、维护过程中遇到的问题，及时提出解决问题的建议和操作方法。</w:t>
      </w:r>
    </w:p>
    <w:p>
      <w:pPr>
        <w:ind w:firstLine="560"/>
        <w:rPr>
          <w:rFonts w:ascii="仿宋" w:hAnsi="仿宋" w:eastAsia="仿宋" w:cs="仿宋"/>
          <w:sz w:val="28"/>
          <w:szCs w:val="28"/>
        </w:rPr>
      </w:pPr>
      <w:r>
        <w:rPr>
          <w:rFonts w:hint="eastAsia" w:ascii="仿宋" w:hAnsi="仿宋" w:eastAsia="仿宋" w:cs="仿宋"/>
          <w:sz w:val="28"/>
          <w:szCs w:val="28"/>
        </w:rPr>
        <w:t>3.远程在线诊断和故障排除</w:t>
      </w:r>
    </w:p>
    <w:p>
      <w:pPr>
        <w:ind w:firstLine="560"/>
        <w:rPr>
          <w:rFonts w:ascii="仿宋" w:hAnsi="仿宋" w:eastAsia="仿宋" w:cs="仿宋"/>
          <w:sz w:val="28"/>
          <w:szCs w:val="28"/>
        </w:rPr>
      </w:pPr>
      <w:r>
        <w:rPr>
          <w:rFonts w:hint="eastAsia" w:ascii="仿宋" w:hAnsi="仿宋" w:eastAsia="仿宋" w:cs="仿宋"/>
          <w:sz w:val="28"/>
          <w:szCs w:val="28"/>
        </w:rPr>
        <w:t>投标人能为采购方提供远程维护，对于电话咨询无法解决的问题，工程师经采购方授权通过电话线、宽带网等方式远程登录到院方网络系统进行在线接入处理。</w:t>
      </w:r>
    </w:p>
    <w:p>
      <w:pPr>
        <w:ind w:firstLine="560"/>
        <w:rPr>
          <w:rFonts w:ascii="仿宋" w:hAnsi="仿宋" w:eastAsia="仿宋" w:cs="仿宋"/>
          <w:sz w:val="28"/>
          <w:szCs w:val="28"/>
        </w:rPr>
      </w:pPr>
      <w:r>
        <w:rPr>
          <w:rFonts w:hint="eastAsia" w:ascii="仿宋" w:hAnsi="仿宋" w:eastAsia="仿宋" w:cs="仿宋"/>
          <w:sz w:val="28"/>
          <w:szCs w:val="28"/>
        </w:rPr>
        <w:t>4.应急响应机制</w:t>
      </w:r>
    </w:p>
    <w:p>
      <w:pPr>
        <w:ind w:firstLine="560"/>
        <w:rPr>
          <w:rFonts w:ascii="仿宋" w:hAnsi="仿宋" w:eastAsia="仿宋" w:cs="仿宋"/>
          <w:sz w:val="28"/>
          <w:szCs w:val="28"/>
        </w:rPr>
      </w:pPr>
      <w:r>
        <w:rPr>
          <w:rFonts w:hint="eastAsia" w:ascii="仿宋" w:hAnsi="仿宋" w:eastAsia="仿宋" w:cs="仿宋"/>
          <w:sz w:val="28"/>
          <w:szCs w:val="28"/>
        </w:rPr>
        <w:t>免费质保期内，如遇紧急故障工作人员在得到通知后2小时内提供在线支持，如不能远程解决，投标人工作人员48小时内必须到达医院并设法排除故障。</w:t>
      </w:r>
    </w:p>
    <w:p>
      <w:pPr>
        <w:ind w:firstLine="560"/>
        <w:rPr>
          <w:rFonts w:ascii="仿宋" w:hAnsi="仿宋" w:eastAsia="仿宋" w:cs="仿宋"/>
          <w:sz w:val="28"/>
          <w:szCs w:val="28"/>
        </w:rPr>
      </w:pPr>
      <w:r>
        <w:rPr>
          <w:rFonts w:hint="eastAsia" w:ascii="仿宋" w:hAnsi="仿宋" w:eastAsia="仿宋" w:cs="仿宋"/>
          <w:sz w:val="28"/>
          <w:szCs w:val="28"/>
        </w:rPr>
        <w:t>5.维保期间根据政策变化、医院绩效实际运行情况及需求，及时提供绩效方案优化的调研工作及调整方案设计。</w:t>
      </w:r>
    </w:p>
    <w:p>
      <w:pPr>
        <w:ind w:firstLine="560"/>
        <w:rPr>
          <w:rFonts w:ascii="仿宋" w:hAnsi="仿宋" w:eastAsia="仿宋" w:cs="仿宋"/>
          <w:sz w:val="28"/>
          <w:szCs w:val="28"/>
        </w:rPr>
      </w:pPr>
      <w:r>
        <w:rPr>
          <w:rFonts w:hint="eastAsia" w:ascii="仿宋" w:hAnsi="仿宋" w:eastAsia="仿宋" w:cs="仿宋"/>
          <w:sz w:val="28"/>
          <w:szCs w:val="28"/>
        </w:rPr>
        <w:t>6.绩效管理系统售后服务：每季度对数据库优化调校，确保数据来源正确；每半年进对系统的例行更新和效能调整，确保系统运行速度；根据系统更新情况及时提供同版本内升级服务，确保系统为该版本最新升级版本。</w:t>
      </w:r>
    </w:p>
    <w:p>
      <w:pPr>
        <w:ind w:firstLine="560"/>
        <w:rPr>
          <w:rFonts w:ascii="仿宋" w:hAnsi="仿宋" w:eastAsia="仿宋" w:cs="仿宋"/>
          <w:color w:val="auto"/>
          <w:kern w:val="44"/>
          <w:sz w:val="28"/>
          <w:szCs w:val="28"/>
          <w:highlight w:val="none"/>
        </w:rPr>
      </w:pPr>
      <w:r>
        <w:rPr>
          <w:rFonts w:hint="eastAsia" w:ascii="仿宋" w:hAnsi="仿宋" w:eastAsia="仿宋" w:cs="仿宋"/>
          <w:sz w:val="28"/>
          <w:szCs w:val="28"/>
        </w:rPr>
        <w:t>7.提供绩效软件的永久使用权。</w:t>
      </w:r>
    </w:p>
    <w:sectPr>
      <w:footerReference r:id="rId8" w:type="first"/>
      <w:footerReference r:id="rId7" w:type="default"/>
      <w:pgSz w:w="11906" w:h="16838"/>
      <w:pgMar w:top="1440" w:right="1800" w:bottom="1440" w:left="1800" w:header="851" w:footer="992" w:gutter="0"/>
      <w:pgNumType w:start="1"/>
      <w:cols w:space="425"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0905636"/>
      <w:docPartObj>
        <w:docPartGallery w:val="autotext"/>
      </w:docPartObj>
    </w:sdtPr>
    <w:sdtContent>
      <w:p>
        <w:pPr>
          <w:pStyle w:val="20"/>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33"/>
        <w:tab w:val="clear" w:pos="4153"/>
        <w:tab w:val="clear" w:pos="8306"/>
      </w:tabs>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4600163" name="文本框 574600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KnhOzjUCAABlBAAADgAAAAAAAAABACAAAAAfAQAAZHJzL2Uyb0RvYy54bWxQ&#10;SwUGAAAAAAYABgBZAQAAxgUAAAAA&#10;">
              <v:fill on="f" focussize="0,0"/>
              <v:stroke on="f" weight="0.5pt"/>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0</w:t>
                    </w:r>
                    <w:r>
                      <w:fldChar w:fldCharType="end"/>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0905636"/>
      <w:docPartObj>
        <w:docPartGallery w:val="autotext"/>
      </w:docPartObj>
    </w:sdtPr>
    <w:sdtContent>
      <w:p>
        <w:pPr>
          <w:pStyle w:val="20"/>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33"/>
        <w:tab w:val="clear" w:pos="4153"/>
        <w:tab w:val="clear" w:pos="8306"/>
      </w:tabs>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0"/>
                      <w:ind w:firstLine="360"/>
                    </w:pPr>
                    <w:r>
                      <w:fldChar w:fldCharType="begin"/>
                    </w:r>
                    <w:r>
                      <w:instrText xml:space="preserve"> PAGE  \* MERGEFORMAT </w:instrText>
                    </w:r>
                    <w:r>
                      <w:fldChar w:fldCharType="separate"/>
                    </w:r>
                    <w:r>
                      <w:t>0</w:t>
                    </w:r>
                    <w:r>
                      <w:fldChar w:fldCharType="end"/>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43A5"/>
    <w:multiLevelType w:val="multilevel"/>
    <w:tmpl w:val="125043A5"/>
    <w:lvl w:ilvl="0" w:tentative="0">
      <w:start w:val="1"/>
      <w:numFmt w:val="chineseCountingThousand"/>
      <w:pStyle w:val="3"/>
      <w:suff w:val="space"/>
      <w:lvlText w:val="%1、"/>
      <w:lvlJc w:val="left"/>
      <w:pPr>
        <w:ind w:left="0" w:firstLine="0"/>
      </w:pPr>
      <w:rPr>
        <w:rFonts w:hint="eastAsia"/>
      </w:rPr>
    </w:lvl>
    <w:lvl w:ilvl="1" w:tentative="0">
      <w:start w:val="1"/>
      <w:numFmt w:val="decimal"/>
      <w:pStyle w:val="4"/>
      <w:isLgl/>
      <w:suff w:val="space"/>
      <w:lvlText w:val="%1.%2"/>
      <w:lvlJc w:val="left"/>
      <w:pPr>
        <w:ind w:left="0" w:firstLine="0"/>
      </w:pPr>
      <w:rPr>
        <w:rFonts w:hint="eastAsia"/>
      </w:rPr>
    </w:lvl>
    <w:lvl w:ilvl="2" w:tentative="0">
      <w:start w:val="1"/>
      <w:numFmt w:val="decimal"/>
      <w:pStyle w:val="5"/>
      <w:isLgl/>
      <w:suff w:val="space"/>
      <w:lvlText w:val="%1.%2.%3"/>
      <w:lvlJc w:val="left"/>
      <w:pPr>
        <w:ind w:left="0" w:firstLine="0"/>
      </w:pPr>
      <w:rPr>
        <w:rFonts w:hint="eastAsia"/>
      </w:rPr>
    </w:lvl>
    <w:lvl w:ilvl="3" w:tentative="0">
      <w:start w:val="1"/>
      <w:numFmt w:val="decimal"/>
      <w:pStyle w:val="6"/>
      <w:isLgl/>
      <w:suff w:val="space"/>
      <w:lvlText w:val="%1.%2.%3.%4"/>
      <w:lvlJc w:val="left"/>
      <w:pPr>
        <w:ind w:left="0" w:firstLine="0"/>
      </w:pPr>
      <w:rPr>
        <w:rFonts w:hint="eastAsia"/>
      </w:rPr>
    </w:lvl>
    <w:lvl w:ilvl="4" w:tentative="0">
      <w:start w:val="1"/>
      <w:numFmt w:val="decimal"/>
      <w:pStyle w:val="7"/>
      <w:isLgl/>
      <w:suff w:val="space"/>
      <w:lvlText w:val="%1.%2.%3.%4.%5"/>
      <w:lvlJc w:val="left"/>
      <w:pPr>
        <w:ind w:left="0" w:firstLine="0"/>
      </w:pPr>
      <w:rPr>
        <w:rFonts w:hint="eastAsia"/>
      </w:rPr>
    </w:lvl>
    <w:lvl w:ilvl="5" w:tentative="0">
      <w:start w:val="1"/>
      <w:numFmt w:val="decimal"/>
      <w:pStyle w:val="8"/>
      <w:isLgl/>
      <w:suff w:val="space"/>
      <w:lvlText w:val="%1.%2.%3.%4.%5.%6"/>
      <w:lvlJc w:val="left"/>
      <w:pPr>
        <w:ind w:left="0" w:firstLine="0"/>
      </w:pPr>
      <w:rPr>
        <w:rFonts w:hint="eastAsia"/>
      </w:rPr>
    </w:lvl>
    <w:lvl w:ilvl="6" w:tentative="0">
      <w:start w:val="1"/>
      <w:numFmt w:val="decimal"/>
      <w:pStyle w:val="9"/>
      <w:isLgl/>
      <w:suff w:val="space"/>
      <w:lvlText w:val="%1.%2.%3.%4.%5.%6.%7"/>
      <w:lvlJc w:val="left"/>
      <w:pPr>
        <w:ind w:left="0" w:firstLine="0"/>
      </w:pPr>
      <w:rPr>
        <w:rFonts w:hint="eastAsia"/>
      </w:rPr>
    </w:lvl>
    <w:lvl w:ilvl="7" w:tentative="0">
      <w:start w:val="1"/>
      <w:numFmt w:val="decimal"/>
      <w:pStyle w:val="10"/>
      <w:isLgl/>
      <w:suff w:val="space"/>
      <w:lvlText w:val="%1.%2.%3.%4.%5.%6.%7.%8"/>
      <w:lvlJc w:val="left"/>
      <w:pPr>
        <w:ind w:left="0" w:firstLine="0"/>
      </w:pPr>
      <w:rPr>
        <w:rFonts w:hint="eastAsia"/>
      </w:rPr>
    </w:lvl>
    <w:lvl w:ilvl="8" w:tentative="0">
      <w:start w:val="1"/>
      <w:numFmt w:val="decimal"/>
      <w:pStyle w:val="11"/>
      <w:isLgl/>
      <w:suff w:val="space"/>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5ZGVkMzRkOGMzZWRlNDlmZWM4YmNhMDBhNjZiODgifQ=="/>
  </w:docVars>
  <w:rsids>
    <w:rsidRoot w:val="0001597F"/>
    <w:rsid w:val="0000122A"/>
    <w:rsid w:val="00001691"/>
    <w:rsid w:val="000027E7"/>
    <w:rsid w:val="0000535C"/>
    <w:rsid w:val="000055F1"/>
    <w:rsid w:val="000061E1"/>
    <w:rsid w:val="00011557"/>
    <w:rsid w:val="00011D36"/>
    <w:rsid w:val="0001597F"/>
    <w:rsid w:val="000214F7"/>
    <w:rsid w:val="00041C97"/>
    <w:rsid w:val="000465F2"/>
    <w:rsid w:val="00047BB8"/>
    <w:rsid w:val="00053593"/>
    <w:rsid w:val="00056AD0"/>
    <w:rsid w:val="00056D63"/>
    <w:rsid w:val="000673AE"/>
    <w:rsid w:val="00067F16"/>
    <w:rsid w:val="0007249A"/>
    <w:rsid w:val="00073CE9"/>
    <w:rsid w:val="00081E08"/>
    <w:rsid w:val="00091B34"/>
    <w:rsid w:val="000946E7"/>
    <w:rsid w:val="00097D12"/>
    <w:rsid w:val="000A208A"/>
    <w:rsid w:val="000A35E5"/>
    <w:rsid w:val="000B3836"/>
    <w:rsid w:val="000B413B"/>
    <w:rsid w:val="000D7192"/>
    <w:rsid w:val="000E21B2"/>
    <w:rsid w:val="000E5724"/>
    <w:rsid w:val="000F21E8"/>
    <w:rsid w:val="000F5500"/>
    <w:rsid w:val="000F652F"/>
    <w:rsid w:val="00101B86"/>
    <w:rsid w:val="0011440C"/>
    <w:rsid w:val="001145C1"/>
    <w:rsid w:val="001178AA"/>
    <w:rsid w:val="00135A0E"/>
    <w:rsid w:val="00144F67"/>
    <w:rsid w:val="001557A8"/>
    <w:rsid w:val="0015698B"/>
    <w:rsid w:val="00157723"/>
    <w:rsid w:val="00161FDD"/>
    <w:rsid w:val="00162BF9"/>
    <w:rsid w:val="001761AF"/>
    <w:rsid w:val="0018433C"/>
    <w:rsid w:val="00186527"/>
    <w:rsid w:val="001905A3"/>
    <w:rsid w:val="001A16DC"/>
    <w:rsid w:val="001A2499"/>
    <w:rsid w:val="001A6047"/>
    <w:rsid w:val="001B2FD9"/>
    <w:rsid w:val="001C2994"/>
    <w:rsid w:val="001D064E"/>
    <w:rsid w:val="001D3D6A"/>
    <w:rsid w:val="001E16BA"/>
    <w:rsid w:val="001E577F"/>
    <w:rsid w:val="001E5A98"/>
    <w:rsid w:val="001E61F9"/>
    <w:rsid w:val="001E7978"/>
    <w:rsid w:val="001F013C"/>
    <w:rsid w:val="001F4049"/>
    <w:rsid w:val="002030A6"/>
    <w:rsid w:val="00203DB7"/>
    <w:rsid w:val="00213A61"/>
    <w:rsid w:val="00222298"/>
    <w:rsid w:val="00237A06"/>
    <w:rsid w:val="002402F2"/>
    <w:rsid w:val="0024384E"/>
    <w:rsid w:val="00251C27"/>
    <w:rsid w:val="00253B74"/>
    <w:rsid w:val="00294709"/>
    <w:rsid w:val="002A258A"/>
    <w:rsid w:val="002A4484"/>
    <w:rsid w:val="002A5700"/>
    <w:rsid w:val="002B284A"/>
    <w:rsid w:val="002C0BCF"/>
    <w:rsid w:val="002D759E"/>
    <w:rsid w:val="002E4BF8"/>
    <w:rsid w:val="002E4F8A"/>
    <w:rsid w:val="002F7B96"/>
    <w:rsid w:val="00326128"/>
    <w:rsid w:val="00326B28"/>
    <w:rsid w:val="00326FC9"/>
    <w:rsid w:val="003306AC"/>
    <w:rsid w:val="00346102"/>
    <w:rsid w:val="003553C4"/>
    <w:rsid w:val="0036307B"/>
    <w:rsid w:val="003727F0"/>
    <w:rsid w:val="003A28F4"/>
    <w:rsid w:val="003A633E"/>
    <w:rsid w:val="003C4BD8"/>
    <w:rsid w:val="003C5125"/>
    <w:rsid w:val="003C546D"/>
    <w:rsid w:val="003C603B"/>
    <w:rsid w:val="003D1F4F"/>
    <w:rsid w:val="003D3952"/>
    <w:rsid w:val="003D6234"/>
    <w:rsid w:val="003E085C"/>
    <w:rsid w:val="003E3B43"/>
    <w:rsid w:val="003E4030"/>
    <w:rsid w:val="003F2FBB"/>
    <w:rsid w:val="003F3E96"/>
    <w:rsid w:val="003F519D"/>
    <w:rsid w:val="003F5CC7"/>
    <w:rsid w:val="003F63CC"/>
    <w:rsid w:val="0040467C"/>
    <w:rsid w:val="00411379"/>
    <w:rsid w:val="004202C5"/>
    <w:rsid w:val="00431FCB"/>
    <w:rsid w:val="00432DCD"/>
    <w:rsid w:val="0044421B"/>
    <w:rsid w:val="00447CA1"/>
    <w:rsid w:val="00460686"/>
    <w:rsid w:val="004655A1"/>
    <w:rsid w:val="0047382F"/>
    <w:rsid w:val="0047534A"/>
    <w:rsid w:val="0048658F"/>
    <w:rsid w:val="0048794D"/>
    <w:rsid w:val="00494D78"/>
    <w:rsid w:val="004B43B4"/>
    <w:rsid w:val="004B5D3B"/>
    <w:rsid w:val="004C09F4"/>
    <w:rsid w:val="004D362A"/>
    <w:rsid w:val="004E575A"/>
    <w:rsid w:val="004F0012"/>
    <w:rsid w:val="004F340C"/>
    <w:rsid w:val="004F39E1"/>
    <w:rsid w:val="004F598B"/>
    <w:rsid w:val="00512B4C"/>
    <w:rsid w:val="005145A3"/>
    <w:rsid w:val="0052011C"/>
    <w:rsid w:val="0052037A"/>
    <w:rsid w:val="00524CC9"/>
    <w:rsid w:val="00526088"/>
    <w:rsid w:val="00550ABA"/>
    <w:rsid w:val="00552035"/>
    <w:rsid w:val="00553E63"/>
    <w:rsid w:val="0055651E"/>
    <w:rsid w:val="00557E3A"/>
    <w:rsid w:val="00560B23"/>
    <w:rsid w:val="005636CA"/>
    <w:rsid w:val="00570012"/>
    <w:rsid w:val="00571A56"/>
    <w:rsid w:val="00581947"/>
    <w:rsid w:val="00586028"/>
    <w:rsid w:val="0059135E"/>
    <w:rsid w:val="00592990"/>
    <w:rsid w:val="00594F13"/>
    <w:rsid w:val="005970F9"/>
    <w:rsid w:val="005A5305"/>
    <w:rsid w:val="005B01C0"/>
    <w:rsid w:val="005B146E"/>
    <w:rsid w:val="005B15CA"/>
    <w:rsid w:val="005B4375"/>
    <w:rsid w:val="005C0A5B"/>
    <w:rsid w:val="005C14E9"/>
    <w:rsid w:val="005C6510"/>
    <w:rsid w:val="005E2018"/>
    <w:rsid w:val="005F778D"/>
    <w:rsid w:val="00620083"/>
    <w:rsid w:val="006378AF"/>
    <w:rsid w:val="006469CB"/>
    <w:rsid w:val="00647992"/>
    <w:rsid w:val="0065334B"/>
    <w:rsid w:val="006539D5"/>
    <w:rsid w:val="0065673F"/>
    <w:rsid w:val="00656BAF"/>
    <w:rsid w:val="00663107"/>
    <w:rsid w:val="00664224"/>
    <w:rsid w:val="0067129C"/>
    <w:rsid w:val="0067624B"/>
    <w:rsid w:val="00680D22"/>
    <w:rsid w:val="0069213B"/>
    <w:rsid w:val="006A21F2"/>
    <w:rsid w:val="006B7340"/>
    <w:rsid w:val="006B7412"/>
    <w:rsid w:val="006C4AFD"/>
    <w:rsid w:val="006D3457"/>
    <w:rsid w:val="006D43E1"/>
    <w:rsid w:val="006D46C9"/>
    <w:rsid w:val="006D67D6"/>
    <w:rsid w:val="006E08D6"/>
    <w:rsid w:val="006E3EEA"/>
    <w:rsid w:val="006E5B50"/>
    <w:rsid w:val="006E6B37"/>
    <w:rsid w:val="006F27E0"/>
    <w:rsid w:val="006F4425"/>
    <w:rsid w:val="006F7D86"/>
    <w:rsid w:val="0070153C"/>
    <w:rsid w:val="00701B34"/>
    <w:rsid w:val="00711DC0"/>
    <w:rsid w:val="007161D0"/>
    <w:rsid w:val="00717BD9"/>
    <w:rsid w:val="00721AD9"/>
    <w:rsid w:val="007437A6"/>
    <w:rsid w:val="00752B4E"/>
    <w:rsid w:val="00754490"/>
    <w:rsid w:val="007646B4"/>
    <w:rsid w:val="007710F3"/>
    <w:rsid w:val="00776905"/>
    <w:rsid w:val="00776B9A"/>
    <w:rsid w:val="00783317"/>
    <w:rsid w:val="00790CA2"/>
    <w:rsid w:val="00794B27"/>
    <w:rsid w:val="007B332C"/>
    <w:rsid w:val="007B3C7F"/>
    <w:rsid w:val="007C1E08"/>
    <w:rsid w:val="007C3CD2"/>
    <w:rsid w:val="007E6C69"/>
    <w:rsid w:val="007F1769"/>
    <w:rsid w:val="008019EE"/>
    <w:rsid w:val="008071C2"/>
    <w:rsid w:val="00812D2E"/>
    <w:rsid w:val="008211E4"/>
    <w:rsid w:val="00821A02"/>
    <w:rsid w:val="008370EA"/>
    <w:rsid w:val="00837EED"/>
    <w:rsid w:val="00840454"/>
    <w:rsid w:val="00843395"/>
    <w:rsid w:val="00850505"/>
    <w:rsid w:val="008562BD"/>
    <w:rsid w:val="00862D00"/>
    <w:rsid w:val="00865190"/>
    <w:rsid w:val="00885886"/>
    <w:rsid w:val="00893121"/>
    <w:rsid w:val="008A0C96"/>
    <w:rsid w:val="008A4262"/>
    <w:rsid w:val="008A64B4"/>
    <w:rsid w:val="008A67F4"/>
    <w:rsid w:val="008B224C"/>
    <w:rsid w:val="008C2143"/>
    <w:rsid w:val="008C70EC"/>
    <w:rsid w:val="008D3E99"/>
    <w:rsid w:val="008E0C56"/>
    <w:rsid w:val="008E3C0F"/>
    <w:rsid w:val="008E78ED"/>
    <w:rsid w:val="008E7B90"/>
    <w:rsid w:val="008F112B"/>
    <w:rsid w:val="008F574C"/>
    <w:rsid w:val="008F6DAD"/>
    <w:rsid w:val="00902D71"/>
    <w:rsid w:val="009262D2"/>
    <w:rsid w:val="00927085"/>
    <w:rsid w:val="009317FB"/>
    <w:rsid w:val="00933E3F"/>
    <w:rsid w:val="0093458C"/>
    <w:rsid w:val="009413EC"/>
    <w:rsid w:val="00947398"/>
    <w:rsid w:val="0095056A"/>
    <w:rsid w:val="00951254"/>
    <w:rsid w:val="00951ACC"/>
    <w:rsid w:val="009574D4"/>
    <w:rsid w:val="00961B05"/>
    <w:rsid w:val="009627C3"/>
    <w:rsid w:val="009660BD"/>
    <w:rsid w:val="0097121D"/>
    <w:rsid w:val="00972D9B"/>
    <w:rsid w:val="00985AD4"/>
    <w:rsid w:val="00986AC1"/>
    <w:rsid w:val="00987624"/>
    <w:rsid w:val="0099642F"/>
    <w:rsid w:val="009A5AC1"/>
    <w:rsid w:val="009B0C61"/>
    <w:rsid w:val="009B4285"/>
    <w:rsid w:val="009B5643"/>
    <w:rsid w:val="009B7C05"/>
    <w:rsid w:val="009C2263"/>
    <w:rsid w:val="009C32D3"/>
    <w:rsid w:val="009D4449"/>
    <w:rsid w:val="009D6FF7"/>
    <w:rsid w:val="009F48CF"/>
    <w:rsid w:val="00A00376"/>
    <w:rsid w:val="00A05B5A"/>
    <w:rsid w:val="00A06AD0"/>
    <w:rsid w:val="00A30827"/>
    <w:rsid w:val="00A316CB"/>
    <w:rsid w:val="00A32E36"/>
    <w:rsid w:val="00A5605A"/>
    <w:rsid w:val="00A70E0C"/>
    <w:rsid w:val="00A71CE6"/>
    <w:rsid w:val="00A721EE"/>
    <w:rsid w:val="00A73C31"/>
    <w:rsid w:val="00A748DA"/>
    <w:rsid w:val="00A76693"/>
    <w:rsid w:val="00A77AD0"/>
    <w:rsid w:val="00A8134E"/>
    <w:rsid w:val="00A955F8"/>
    <w:rsid w:val="00AB1168"/>
    <w:rsid w:val="00AB6274"/>
    <w:rsid w:val="00AB649E"/>
    <w:rsid w:val="00AB704E"/>
    <w:rsid w:val="00AB7C99"/>
    <w:rsid w:val="00AC5715"/>
    <w:rsid w:val="00AD14D7"/>
    <w:rsid w:val="00AE3144"/>
    <w:rsid w:val="00AE4B57"/>
    <w:rsid w:val="00B02EBF"/>
    <w:rsid w:val="00B0443B"/>
    <w:rsid w:val="00B04D5E"/>
    <w:rsid w:val="00B1076B"/>
    <w:rsid w:val="00B11651"/>
    <w:rsid w:val="00B11892"/>
    <w:rsid w:val="00B22D3D"/>
    <w:rsid w:val="00B24C20"/>
    <w:rsid w:val="00B3201E"/>
    <w:rsid w:val="00B362F8"/>
    <w:rsid w:val="00B40D50"/>
    <w:rsid w:val="00B507AD"/>
    <w:rsid w:val="00B535C6"/>
    <w:rsid w:val="00B53710"/>
    <w:rsid w:val="00B53A69"/>
    <w:rsid w:val="00B55BBE"/>
    <w:rsid w:val="00B61A63"/>
    <w:rsid w:val="00B62E58"/>
    <w:rsid w:val="00B650A4"/>
    <w:rsid w:val="00B723B1"/>
    <w:rsid w:val="00B7559F"/>
    <w:rsid w:val="00B768C5"/>
    <w:rsid w:val="00B8115A"/>
    <w:rsid w:val="00B82756"/>
    <w:rsid w:val="00B8278E"/>
    <w:rsid w:val="00B848CF"/>
    <w:rsid w:val="00B857A4"/>
    <w:rsid w:val="00B934F6"/>
    <w:rsid w:val="00BA16E1"/>
    <w:rsid w:val="00BB3F6E"/>
    <w:rsid w:val="00BB46AD"/>
    <w:rsid w:val="00BB6753"/>
    <w:rsid w:val="00BC1EAE"/>
    <w:rsid w:val="00BC57A3"/>
    <w:rsid w:val="00BD2C54"/>
    <w:rsid w:val="00BD449B"/>
    <w:rsid w:val="00BE1A50"/>
    <w:rsid w:val="00BE2494"/>
    <w:rsid w:val="00BF6EB1"/>
    <w:rsid w:val="00BF6EB7"/>
    <w:rsid w:val="00C127CC"/>
    <w:rsid w:val="00C14725"/>
    <w:rsid w:val="00C14A57"/>
    <w:rsid w:val="00C2665C"/>
    <w:rsid w:val="00C30BDC"/>
    <w:rsid w:val="00C45DB7"/>
    <w:rsid w:val="00C5006B"/>
    <w:rsid w:val="00C6089B"/>
    <w:rsid w:val="00C727F6"/>
    <w:rsid w:val="00C759D9"/>
    <w:rsid w:val="00C807D0"/>
    <w:rsid w:val="00C85327"/>
    <w:rsid w:val="00C86D8B"/>
    <w:rsid w:val="00CA05C7"/>
    <w:rsid w:val="00CA0CD3"/>
    <w:rsid w:val="00CA2746"/>
    <w:rsid w:val="00CA6A2D"/>
    <w:rsid w:val="00CB1726"/>
    <w:rsid w:val="00CD5C74"/>
    <w:rsid w:val="00CF6A7A"/>
    <w:rsid w:val="00D02E44"/>
    <w:rsid w:val="00D02EFE"/>
    <w:rsid w:val="00D05C80"/>
    <w:rsid w:val="00D07836"/>
    <w:rsid w:val="00D124F6"/>
    <w:rsid w:val="00D12BDD"/>
    <w:rsid w:val="00D1405F"/>
    <w:rsid w:val="00D16005"/>
    <w:rsid w:val="00D17C43"/>
    <w:rsid w:val="00D228EF"/>
    <w:rsid w:val="00D25E70"/>
    <w:rsid w:val="00D340B6"/>
    <w:rsid w:val="00D35988"/>
    <w:rsid w:val="00D428E0"/>
    <w:rsid w:val="00D44B9A"/>
    <w:rsid w:val="00D4578E"/>
    <w:rsid w:val="00D50749"/>
    <w:rsid w:val="00D5635B"/>
    <w:rsid w:val="00D60253"/>
    <w:rsid w:val="00D67FE8"/>
    <w:rsid w:val="00D713F8"/>
    <w:rsid w:val="00D7718E"/>
    <w:rsid w:val="00D87FA1"/>
    <w:rsid w:val="00D94B07"/>
    <w:rsid w:val="00DA4781"/>
    <w:rsid w:val="00DA574C"/>
    <w:rsid w:val="00DA667A"/>
    <w:rsid w:val="00DB2F9D"/>
    <w:rsid w:val="00DB47F9"/>
    <w:rsid w:val="00DC5CC5"/>
    <w:rsid w:val="00DD57AD"/>
    <w:rsid w:val="00DF5362"/>
    <w:rsid w:val="00E01968"/>
    <w:rsid w:val="00E049AB"/>
    <w:rsid w:val="00E07502"/>
    <w:rsid w:val="00E07FAE"/>
    <w:rsid w:val="00E13BEA"/>
    <w:rsid w:val="00E23073"/>
    <w:rsid w:val="00E374C4"/>
    <w:rsid w:val="00E4255C"/>
    <w:rsid w:val="00E430DC"/>
    <w:rsid w:val="00E52736"/>
    <w:rsid w:val="00E53551"/>
    <w:rsid w:val="00E66E5F"/>
    <w:rsid w:val="00E76C83"/>
    <w:rsid w:val="00E8212F"/>
    <w:rsid w:val="00E858EC"/>
    <w:rsid w:val="00E928B2"/>
    <w:rsid w:val="00EB1BEF"/>
    <w:rsid w:val="00EB1EA1"/>
    <w:rsid w:val="00EB291F"/>
    <w:rsid w:val="00EB2DE0"/>
    <w:rsid w:val="00EB6C19"/>
    <w:rsid w:val="00EC7441"/>
    <w:rsid w:val="00ED4149"/>
    <w:rsid w:val="00ED6D7E"/>
    <w:rsid w:val="00EE23C6"/>
    <w:rsid w:val="00EF7C91"/>
    <w:rsid w:val="00F02441"/>
    <w:rsid w:val="00F04B1C"/>
    <w:rsid w:val="00F172A5"/>
    <w:rsid w:val="00F357BC"/>
    <w:rsid w:val="00F41260"/>
    <w:rsid w:val="00F420B1"/>
    <w:rsid w:val="00F42E33"/>
    <w:rsid w:val="00F456D4"/>
    <w:rsid w:val="00F45D62"/>
    <w:rsid w:val="00F46EFC"/>
    <w:rsid w:val="00F5173E"/>
    <w:rsid w:val="00F5593A"/>
    <w:rsid w:val="00F62047"/>
    <w:rsid w:val="00F65BA7"/>
    <w:rsid w:val="00F80B38"/>
    <w:rsid w:val="00F841BB"/>
    <w:rsid w:val="00F86DBA"/>
    <w:rsid w:val="00F927A9"/>
    <w:rsid w:val="00F97F31"/>
    <w:rsid w:val="00FA3211"/>
    <w:rsid w:val="00FA44B9"/>
    <w:rsid w:val="00FA605D"/>
    <w:rsid w:val="00FB2EAA"/>
    <w:rsid w:val="00FB45E4"/>
    <w:rsid w:val="00FC001F"/>
    <w:rsid w:val="00FC278D"/>
    <w:rsid w:val="00FC4B67"/>
    <w:rsid w:val="00FC5E33"/>
    <w:rsid w:val="00FC61D4"/>
    <w:rsid w:val="00FD2286"/>
    <w:rsid w:val="00FE4208"/>
    <w:rsid w:val="00FE443D"/>
    <w:rsid w:val="00FF0732"/>
    <w:rsid w:val="00FF10A8"/>
    <w:rsid w:val="00FF6F38"/>
    <w:rsid w:val="01CB767E"/>
    <w:rsid w:val="04553BDA"/>
    <w:rsid w:val="04D41BC1"/>
    <w:rsid w:val="08161C67"/>
    <w:rsid w:val="0C4B3A25"/>
    <w:rsid w:val="109C2F25"/>
    <w:rsid w:val="15171CAE"/>
    <w:rsid w:val="153E25FF"/>
    <w:rsid w:val="1B6E0FB0"/>
    <w:rsid w:val="1C4972F3"/>
    <w:rsid w:val="1C5E7C2B"/>
    <w:rsid w:val="1D7B096A"/>
    <w:rsid w:val="1FBB7713"/>
    <w:rsid w:val="21CE45B4"/>
    <w:rsid w:val="233D0598"/>
    <w:rsid w:val="244551D4"/>
    <w:rsid w:val="25205A7B"/>
    <w:rsid w:val="28141DB9"/>
    <w:rsid w:val="2A0F3DAB"/>
    <w:rsid w:val="2A677A8F"/>
    <w:rsid w:val="2D180A11"/>
    <w:rsid w:val="2D406ACD"/>
    <w:rsid w:val="2E8343F0"/>
    <w:rsid w:val="3233600D"/>
    <w:rsid w:val="371720E3"/>
    <w:rsid w:val="386B74E0"/>
    <w:rsid w:val="38CE5AC2"/>
    <w:rsid w:val="39A700C1"/>
    <w:rsid w:val="3A154985"/>
    <w:rsid w:val="3A5C04DB"/>
    <w:rsid w:val="3BDD67EE"/>
    <w:rsid w:val="3C0D1DA4"/>
    <w:rsid w:val="3F2A04C7"/>
    <w:rsid w:val="421D2F57"/>
    <w:rsid w:val="47240FA3"/>
    <w:rsid w:val="473E1950"/>
    <w:rsid w:val="49E36EF3"/>
    <w:rsid w:val="4B294DDA"/>
    <w:rsid w:val="4C663C2B"/>
    <w:rsid w:val="4D1661DC"/>
    <w:rsid w:val="4D8E48C4"/>
    <w:rsid w:val="4DA52C2C"/>
    <w:rsid w:val="4F7A14D4"/>
    <w:rsid w:val="5131733E"/>
    <w:rsid w:val="52AD009F"/>
    <w:rsid w:val="553B4CC8"/>
    <w:rsid w:val="55E3323E"/>
    <w:rsid w:val="5AAB75B9"/>
    <w:rsid w:val="5C677510"/>
    <w:rsid w:val="5EA92062"/>
    <w:rsid w:val="5F1B22B1"/>
    <w:rsid w:val="5F7268F8"/>
    <w:rsid w:val="626D15F8"/>
    <w:rsid w:val="63367C3C"/>
    <w:rsid w:val="65A43583"/>
    <w:rsid w:val="67BE0E64"/>
    <w:rsid w:val="68290463"/>
    <w:rsid w:val="68EB3277"/>
    <w:rsid w:val="6B9E0A74"/>
    <w:rsid w:val="6D237483"/>
    <w:rsid w:val="6D393F6A"/>
    <w:rsid w:val="6E2A4841"/>
    <w:rsid w:val="6ECC42E6"/>
    <w:rsid w:val="700F6C99"/>
    <w:rsid w:val="705A3BBE"/>
    <w:rsid w:val="739369E5"/>
    <w:rsid w:val="76B73E95"/>
    <w:rsid w:val="7753682E"/>
    <w:rsid w:val="77AE4DA6"/>
    <w:rsid w:val="77B351D8"/>
    <w:rsid w:val="7B0C4F78"/>
    <w:rsid w:val="7B1637A7"/>
    <w:rsid w:val="7F602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1" w:semiHidden="0" w:name="heading 3"/>
    <w:lsdException w:qFormat="1" w:uiPriority="1" w:semiHidden="0" w:name="heading 4"/>
    <w:lsdException w:qFormat="1" w:uiPriority="1" w:semiHidden="0" w:name="heading 5"/>
    <w:lsdException w:qFormat="1" w:uiPriority="9" w:semiHidden="0" w:name="heading 6"/>
    <w:lsdException w:qFormat="1" w:uiPriority="9"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宋体" w:hAnsi="宋体" w:eastAsiaTheme="minorEastAsia" w:cstheme="minorBidi"/>
      <w:kern w:val="2"/>
      <w:sz w:val="24"/>
      <w:szCs w:val="22"/>
      <w:lang w:val="en-US" w:eastAsia="zh-CN" w:bidi="ar-SA"/>
    </w:rPr>
  </w:style>
  <w:style w:type="paragraph" w:styleId="3">
    <w:name w:val="heading 1"/>
    <w:basedOn w:val="1"/>
    <w:next w:val="1"/>
    <w:link w:val="36"/>
    <w:autoRedefine/>
    <w:qFormat/>
    <w:uiPriority w:val="9"/>
    <w:pPr>
      <w:keepNext/>
      <w:keepLines/>
      <w:numPr>
        <w:ilvl w:val="0"/>
        <w:numId w:val="1"/>
      </w:numPr>
      <w:spacing w:before="160" w:after="160"/>
      <w:ind w:firstLineChars="0"/>
      <w:outlineLvl w:val="0"/>
    </w:pPr>
    <w:rPr>
      <w:rFonts w:eastAsiaTheme="majorEastAsia"/>
      <w:b/>
      <w:bCs/>
      <w:kern w:val="44"/>
      <w:sz w:val="32"/>
      <w:szCs w:val="44"/>
    </w:rPr>
  </w:style>
  <w:style w:type="paragraph" w:styleId="4">
    <w:name w:val="heading 2"/>
    <w:basedOn w:val="1"/>
    <w:next w:val="1"/>
    <w:link w:val="37"/>
    <w:autoRedefine/>
    <w:unhideWhenUsed/>
    <w:qFormat/>
    <w:uiPriority w:val="1"/>
    <w:pPr>
      <w:keepNext/>
      <w:keepLines/>
      <w:numPr>
        <w:ilvl w:val="1"/>
        <w:numId w:val="1"/>
      </w:numPr>
      <w:spacing w:before="160" w:after="160"/>
      <w:ind w:firstLineChars="0"/>
      <w:outlineLvl w:val="1"/>
    </w:pPr>
    <w:rPr>
      <w:rFonts w:eastAsiaTheme="majorEastAsia" w:cstheme="majorBidi"/>
      <w:b/>
      <w:bCs/>
      <w:sz w:val="30"/>
      <w:szCs w:val="32"/>
    </w:rPr>
  </w:style>
  <w:style w:type="paragraph" w:styleId="5">
    <w:name w:val="heading 3"/>
    <w:basedOn w:val="1"/>
    <w:next w:val="1"/>
    <w:link w:val="38"/>
    <w:autoRedefine/>
    <w:unhideWhenUsed/>
    <w:qFormat/>
    <w:uiPriority w:val="1"/>
    <w:pPr>
      <w:keepNext/>
      <w:keepLines/>
      <w:numPr>
        <w:ilvl w:val="2"/>
        <w:numId w:val="1"/>
      </w:numPr>
      <w:spacing w:before="160" w:after="160"/>
      <w:ind w:firstLineChars="0"/>
      <w:outlineLvl w:val="2"/>
    </w:pPr>
    <w:rPr>
      <w:rFonts w:eastAsiaTheme="majorEastAsia"/>
      <w:b/>
      <w:bCs/>
      <w:sz w:val="28"/>
      <w:szCs w:val="32"/>
    </w:rPr>
  </w:style>
  <w:style w:type="paragraph" w:styleId="6">
    <w:name w:val="heading 4"/>
    <w:basedOn w:val="1"/>
    <w:next w:val="1"/>
    <w:link w:val="39"/>
    <w:autoRedefine/>
    <w:unhideWhenUsed/>
    <w:qFormat/>
    <w:uiPriority w:val="1"/>
    <w:pPr>
      <w:keepNext/>
      <w:keepLines/>
      <w:numPr>
        <w:ilvl w:val="3"/>
        <w:numId w:val="1"/>
      </w:numPr>
      <w:spacing w:before="160" w:after="160"/>
      <w:ind w:firstLineChars="0"/>
      <w:outlineLvl w:val="3"/>
    </w:pPr>
    <w:rPr>
      <w:rFonts w:eastAsiaTheme="majorEastAsia" w:cstheme="majorBidi"/>
      <w:b/>
      <w:bCs/>
      <w:szCs w:val="28"/>
    </w:rPr>
  </w:style>
  <w:style w:type="paragraph" w:styleId="7">
    <w:name w:val="heading 5"/>
    <w:basedOn w:val="1"/>
    <w:next w:val="1"/>
    <w:link w:val="41"/>
    <w:autoRedefine/>
    <w:unhideWhenUsed/>
    <w:qFormat/>
    <w:uiPriority w:val="1"/>
    <w:pPr>
      <w:keepNext/>
      <w:keepLines/>
      <w:numPr>
        <w:ilvl w:val="4"/>
        <w:numId w:val="1"/>
      </w:numPr>
      <w:spacing w:before="160" w:after="160"/>
      <w:ind w:firstLineChars="0"/>
      <w:outlineLvl w:val="4"/>
    </w:pPr>
    <w:rPr>
      <w:b/>
      <w:bCs/>
      <w:szCs w:val="28"/>
    </w:rPr>
  </w:style>
  <w:style w:type="paragraph" w:styleId="8">
    <w:name w:val="heading 6"/>
    <w:basedOn w:val="1"/>
    <w:next w:val="1"/>
    <w:link w:val="44"/>
    <w:autoRedefine/>
    <w:unhideWhenUsed/>
    <w:qFormat/>
    <w:uiPriority w:val="9"/>
    <w:pPr>
      <w:keepNext/>
      <w:keepLines/>
      <w:numPr>
        <w:ilvl w:val="5"/>
        <w:numId w:val="1"/>
      </w:numPr>
      <w:spacing w:before="160" w:after="160"/>
      <w:ind w:firstLineChars="0"/>
      <w:outlineLvl w:val="5"/>
    </w:pPr>
    <w:rPr>
      <w:rFonts w:asciiTheme="majorHAnsi" w:hAnsiTheme="majorHAnsi" w:eastAsiaTheme="majorEastAsia" w:cstheme="majorBidi"/>
      <w:b/>
      <w:bCs/>
      <w:szCs w:val="24"/>
    </w:rPr>
  </w:style>
  <w:style w:type="paragraph" w:styleId="9">
    <w:name w:val="heading 7"/>
    <w:basedOn w:val="1"/>
    <w:next w:val="1"/>
    <w:link w:val="45"/>
    <w:autoRedefine/>
    <w:unhideWhenUsed/>
    <w:qFormat/>
    <w:uiPriority w:val="9"/>
    <w:pPr>
      <w:keepNext/>
      <w:keepLines/>
      <w:numPr>
        <w:ilvl w:val="6"/>
        <w:numId w:val="1"/>
      </w:numPr>
      <w:spacing w:before="160" w:after="160"/>
      <w:ind w:firstLineChars="0"/>
      <w:outlineLvl w:val="6"/>
    </w:pPr>
    <w:rPr>
      <w:b/>
      <w:bCs/>
      <w:szCs w:val="24"/>
    </w:rPr>
  </w:style>
  <w:style w:type="paragraph" w:styleId="10">
    <w:name w:val="heading 8"/>
    <w:basedOn w:val="1"/>
    <w:next w:val="1"/>
    <w:link w:val="46"/>
    <w:autoRedefine/>
    <w:unhideWhenUsed/>
    <w:qFormat/>
    <w:uiPriority w:val="0"/>
    <w:pPr>
      <w:keepNext/>
      <w:keepLines/>
      <w:numPr>
        <w:ilvl w:val="7"/>
        <w:numId w:val="1"/>
      </w:numPr>
      <w:spacing w:before="160" w:after="160"/>
      <w:ind w:firstLineChars="0"/>
      <w:outlineLvl w:val="7"/>
    </w:pPr>
    <w:rPr>
      <w:rFonts w:asciiTheme="majorHAnsi" w:hAnsiTheme="majorHAnsi" w:eastAsiaTheme="majorEastAsia" w:cstheme="majorBidi"/>
      <w:b/>
      <w:szCs w:val="24"/>
    </w:rPr>
  </w:style>
  <w:style w:type="paragraph" w:styleId="11">
    <w:name w:val="heading 9"/>
    <w:basedOn w:val="1"/>
    <w:next w:val="1"/>
    <w:link w:val="47"/>
    <w:autoRedefine/>
    <w:unhideWhenUsed/>
    <w:qFormat/>
    <w:uiPriority w:val="0"/>
    <w:pPr>
      <w:keepNext/>
      <w:keepLines/>
      <w:numPr>
        <w:ilvl w:val="8"/>
        <w:numId w:val="1"/>
      </w:numPr>
      <w:spacing w:before="160" w:after="160"/>
      <w:ind w:firstLineChars="0"/>
      <w:outlineLvl w:val="8"/>
    </w:pPr>
    <w:rPr>
      <w:rFonts w:asciiTheme="majorHAnsi" w:hAnsiTheme="majorHAnsi" w:eastAsiaTheme="majorEastAsia" w:cstheme="majorBidi"/>
      <w:b/>
      <w:sz w:val="21"/>
      <w:szCs w:val="21"/>
    </w:rPr>
  </w:style>
  <w:style w:type="character" w:default="1" w:styleId="31">
    <w:name w:val="Default Paragraph Font"/>
    <w:autoRedefine/>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54"/>
    <w:autoRedefine/>
    <w:qFormat/>
    <w:uiPriority w:val="0"/>
    <w:pPr>
      <w:ind w:firstLine="0" w:firstLineChars="0"/>
    </w:pPr>
    <w:rPr>
      <w:rFonts w:ascii="楷体_GB2312" w:hAnsi="Arial" w:eastAsia="楷体_GB2312" w:cs="Times New Roman"/>
      <w:sz w:val="28"/>
      <w:szCs w:val="28"/>
    </w:rPr>
  </w:style>
  <w:style w:type="paragraph" w:styleId="12">
    <w:name w:val="toc 7"/>
    <w:basedOn w:val="1"/>
    <w:next w:val="1"/>
    <w:autoRedefine/>
    <w:unhideWhenUsed/>
    <w:qFormat/>
    <w:uiPriority w:val="39"/>
    <w:pPr>
      <w:ind w:left="1440"/>
      <w:jc w:val="left"/>
    </w:pPr>
    <w:rPr>
      <w:rFonts w:asciiTheme="minorHAnsi" w:hAnsiTheme="minorHAnsi" w:cstheme="minorHAnsi"/>
      <w:sz w:val="18"/>
      <w:szCs w:val="18"/>
    </w:rPr>
  </w:style>
  <w:style w:type="paragraph" w:styleId="13">
    <w:name w:val="Normal Indent"/>
    <w:basedOn w:val="1"/>
    <w:link w:val="50"/>
    <w:autoRedefine/>
    <w:qFormat/>
    <w:uiPriority w:val="0"/>
    <w:pPr>
      <w:ind w:firstLine="420" w:firstLineChars="0"/>
    </w:pPr>
    <w:rPr>
      <w:rFonts w:ascii="Times New Roman" w:hAnsi="Times New Roman" w:eastAsia="宋体" w:cs="Times New Roman"/>
      <w:sz w:val="21"/>
      <w:szCs w:val="21"/>
    </w:rPr>
  </w:style>
  <w:style w:type="paragraph" w:styleId="14">
    <w:name w:val="annotation text"/>
    <w:basedOn w:val="1"/>
    <w:link w:val="60"/>
    <w:autoRedefine/>
    <w:unhideWhenUsed/>
    <w:qFormat/>
    <w:uiPriority w:val="99"/>
    <w:pPr>
      <w:jc w:val="left"/>
    </w:pPr>
  </w:style>
  <w:style w:type="paragraph" w:styleId="15">
    <w:name w:val="Body Text Indent"/>
    <w:basedOn w:val="1"/>
    <w:link w:val="56"/>
    <w:autoRedefine/>
    <w:semiHidden/>
    <w:unhideWhenUsed/>
    <w:qFormat/>
    <w:uiPriority w:val="99"/>
    <w:pPr>
      <w:spacing w:after="120"/>
      <w:ind w:left="420" w:leftChars="200"/>
    </w:pPr>
  </w:style>
  <w:style w:type="paragraph" w:styleId="16">
    <w:name w:val="toc 5"/>
    <w:basedOn w:val="1"/>
    <w:next w:val="1"/>
    <w:autoRedefine/>
    <w:unhideWhenUsed/>
    <w:qFormat/>
    <w:uiPriority w:val="39"/>
    <w:pPr>
      <w:ind w:left="960"/>
      <w:jc w:val="left"/>
    </w:pPr>
    <w:rPr>
      <w:rFonts w:asciiTheme="minorHAnsi" w:hAnsiTheme="minorHAnsi" w:cstheme="minorHAnsi"/>
      <w:sz w:val="18"/>
      <w:szCs w:val="18"/>
    </w:rPr>
  </w:style>
  <w:style w:type="paragraph" w:styleId="17">
    <w:name w:val="toc 3"/>
    <w:basedOn w:val="1"/>
    <w:next w:val="1"/>
    <w:autoRedefine/>
    <w:unhideWhenUsed/>
    <w:qFormat/>
    <w:uiPriority w:val="39"/>
    <w:pPr>
      <w:ind w:left="480"/>
      <w:jc w:val="left"/>
    </w:pPr>
    <w:rPr>
      <w:rFonts w:asciiTheme="minorHAnsi" w:hAnsiTheme="minorHAnsi" w:cstheme="minorHAnsi"/>
      <w:i/>
      <w:iCs/>
      <w:sz w:val="20"/>
      <w:szCs w:val="20"/>
    </w:rPr>
  </w:style>
  <w:style w:type="paragraph" w:styleId="18">
    <w:name w:val="toc 8"/>
    <w:basedOn w:val="1"/>
    <w:next w:val="1"/>
    <w:autoRedefine/>
    <w:unhideWhenUsed/>
    <w:qFormat/>
    <w:uiPriority w:val="39"/>
    <w:pPr>
      <w:ind w:left="1680"/>
      <w:jc w:val="left"/>
    </w:pPr>
    <w:rPr>
      <w:rFonts w:asciiTheme="minorHAnsi" w:hAnsiTheme="minorHAnsi" w:cstheme="minorHAnsi"/>
      <w:sz w:val="18"/>
      <w:szCs w:val="18"/>
    </w:rPr>
  </w:style>
  <w:style w:type="paragraph" w:styleId="19">
    <w:name w:val="Balloon Text"/>
    <w:basedOn w:val="1"/>
    <w:link w:val="48"/>
    <w:autoRedefine/>
    <w:unhideWhenUsed/>
    <w:qFormat/>
    <w:uiPriority w:val="0"/>
    <w:pPr>
      <w:spacing w:line="240" w:lineRule="auto"/>
    </w:pPr>
    <w:rPr>
      <w:sz w:val="18"/>
      <w:szCs w:val="18"/>
    </w:rPr>
  </w:style>
  <w:style w:type="paragraph" w:styleId="20">
    <w:name w:val="footer"/>
    <w:basedOn w:val="1"/>
    <w:link w:val="35"/>
    <w:autoRedefine/>
    <w:unhideWhenUsed/>
    <w:qFormat/>
    <w:uiPriority w:val="99"/>
    <w:pPr>
      <w:tabs>
        <w:tab w:val="center" w:pos="4153"/>
        <w:tab w:val="right" w:pos="8306"/>
      </w:tabs>
      <w:snapToGrid w:val="0"/>
      <w:jc w:val="left"/>
    </w:pPr>
    <w:rPr>
      <w:sz w:val="18"/>
      <w:szCs w:val="18"/>
    </w:rPr>
  </w:style>
  <w:style w:type="paragraph" w:styleId="21">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unhideWhenUsed/>
    <w:qFormat/>
    <w:uiPriority w:val="39"/>
    <w:pPr>
      <w:spacing w:before="120" w:after="120"/>
      <w:jc w:val="left"/>
    </w:pPr>
    <w:rPr>
      <w:rFonts w:asciiTheme="minorHAnsi" w:hAnsiTheme="minorHAnsi" w:cstheme="minorHAnsi"/>
      <w:b/>
      <w:bCs/>
      <w:caps/>
      <w:sz w:val="20"/>
      <w:szCs w:val="20"/>
    </w:rPr>
  </w:style>
  <w:style w:type="paragraph" w:styleId="23">
    <w:name w:val="toc 4"/>
    <w:basedOn w:val="1"/>
    <w:next w:val="1"/>
    <w:autoRedefine/>
    <w:unhideWhenUsed/>
    <w:qFormat/>
    <w:uiPriority w:val="39"/>
    <w:pPr>
      <w:ind w:left="720"/>
      <w:jc w:val="left"/>
    </w:pPr>
    <w:rPr>
      <w:rFonts w:asciiTheme="minorHAnsi" w:hAnsiTheme="minorHAnsi" w:cstheme="minorHAnsi"/>
      <w:sz w:val="18"/>
      <w:szCs w:val="18"/>
    </w:rPr>
  </w:style>
  <w:style w:type="paragraph" w:styleId="24">
    <w:name w:val="toc 6"/>
    <w:basedOn w:val="1"/>
    <w:next w:val="1"/>
    <w:autoRedefine/>
    <w:unhideWhenUsed/>
    <w:qFormat/>
    <w:uiPriority w:val="39"/>
    <w:pPr>
      <w:ind w:left="1200"/>
      <w:jc w:val="left"/>
    </w:pPr>
    <w:rPr>
      <w:rFonts w:asciiTheme="minorHAnsi" w:hAnsiTheme="minorHAnsi" w:cstheme="minorHAnsi"/>
      <w:sz w:val="18"/>
      <w:szCs w:val="18"/>
    </w:rPr>
  </w:style>
  <w:style w:type="paragraph" w:styleId="25">
    <w:name w:val="toc 2"/>
    <w:basedOn w:val="1"/>
    <w:next w:val="1"/>
    <w:autoRedefine/>
    <w:unhideWhenUsed/>
    <w:qFormat/>
    <w:uiPriority w:val="39"/>
    <w:pPr>
      <w:ind w:left="240"/>
      <w:jc w:val="left"/>
    </w:pPr>
    <w:rPr>
      <w:rFonts w:asciiTheme="minorHAnsi" w:hAnsiTheme="minorHAnsi" w:cstheme="minorHAnsi"/>
      <w:smallCaps/>
      <w:sz w:val="20"/>
      <w:szCs w:val="20"/>
    </w:rPr>
  </w:style>
  <w:style w:type="paragraph" w:styleId="26">
    <w:name w:val="toc 9"/>
    <w:basedOn w:val="1"/>
    <w:next w:val="1"/>
    <w:autoRedefine/>
    <w:unhideWhenUsed/>
    <w:qFormat/>
    <w:uiPriority w:val="39"/>
    <w:pPr>
      <w:ind w:left="1920"/>
      <w:jc w:val="left"/>
    </w:pPr>
    <w:rPr>
      <w:rFonts w:asciiTheme="minorHAnsi" w:hAnsiTheme="minorHAnsi" w:cstheme="minorHAnsi"/>
      <w:sz w:val="18"/>
      <w:szCs w:val="18"/>
    </w:rPr>
  </w:style>
  <w:style w:type="paragraph" w:styleId="27">
    <w:name w:val="annotation subject"/>
    <w:basedOn w:val="14"/>
    <w:next w:val="14"/>
    <w:link w:val="61"/>
    <w:autoRedefine/>
    <w:semiHidden/>
    <w:unhideWhenUsed/>
    <w:qFormat/>
    <w:uiPriority w:val="99"/>
    <w:rPr>
      <w:b/>
      <w:bCs/>
    </w:rPr>
  </w:style>
  <w:style w:type="paragraph" w:styleId="28">
    <w:name w:val="Body Text First Indent 2"/>
    <w:basedOn w:val="15"/>
    <w:link w:val="57"/>
    <w:autoRedefine/>
    <w:semiHidden/>
    <w:unhideWhenUsed/>
    <w:qFormat/>
    <w:uiPriority w:val="99"/>
    <w:pPr>
      <w:ind w:firstLine="420"/>
    </w:pPr>
  </w:style>
  <w:style w:type="table" w:styleId="30">
    <w:name w:val="Table Grid"/>
    <w:basedOn w:val="2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Hyperlink"/>
    <w:basedOn w:val="31"/>
    <w:autoRedefine/>
    <w:unhideWhenUsed/>
    <w:qFormat/>
    <w:uiPriority w:val="99"/>
    <w:rPr>
      <w:color w:val="0563C1" w:themeColor="hyperlink"/>
      <w:u w:val="single"/>
      <w14:textFill>
        <w14:solidFill>
          <w14:schemeClr w14:val="hlink"/>
        </w14:solidFill>
      </w14:textFill>
    </w:rPr>
  </w:style>
  <w:style w:type="character" w:styleId="33">
    <w:name w:val="annotation reference"/>
    <w:basedOn w:val="31"/>
    <w:autoRedefine/>
    <w:semiHidden/>
    <w:unhideWhenUsed/>
    <w:qFormat/>
    <w:uiPriority w:val="99"/>
    <w:rPr>
      <w:sz w:val="21"/>
      <w:szCs w:val="21"/>
    </w:rPr>
  </w:style>
  <w:style w:type="character" w:customStyle="1" w:styleId="34">
    <w:name w:val="页眉 字符"/>
    <w:basedOn w:val="31"/>
    <w:link w:val="21"/>
    <w:autoRedefine/>
    <w:qFormat/>
    <w:uiPriority w:val="99"/>
    <w:rPr>
      <w:sz w:val="18"/>
      <w:szCs w:val="18"/>
    </w:rPr>
  </w:style>
  <w:style w:type="character" w:customStyle="1" w:styleId="35">
    <w:name w:val="页脚 字符"/>
    <w:basedOn w:val="31"/>
    <w:link w:val="20"/>
    <w:autoRedefine/>
    <w:qFormat/>
    <w:uiPriority w:val="99"/>
    <w:rPr>
      <w:sz w:val="18"/>
      <w:szCs w:val="18"/>
    </w:rPr>
  </w:style>
  <w:style w:type="character" w:customStyle="1" w:styleId="36">
    <w:name w:val="标题 1 字符"/>
    <w:basedOn w:val="31"/>
    <w:link w:val="3"/>
    <w:autoRedefine/>
    <w:qFormat/>
    <w:uiPriority w:val="9"/>
    <w:rPr>
      <w:rFonts w:eastAsiaTheme="majorEastAsia"/>
      <w:b/>
      <w:bCs/>
      <w:kern w:val="44"/>
      <w:sz w:val="32"/>
      <w:szCs w:val="44"/>
    </w:rPr>
  </w:style>
  <w:style w:type="character" w:customStyle="1" w:styleId="37">
    <w:name w:val="标题 2 字符"/>
    <w:basedOn w:val="31"/>
    <w:link w:val="4"/>
    <w:autoRedefine/>
    <w:qFormat/>
    <w:uiPriority w:val="9"/>
    <w:rPr>
      <w:rFonts w:ascii="宋体" w:hAnsi="宋体" w:eastAsiaTheme="majorEastAsia" w:cstheme="majorBidi"/>
      <w:b/>
      <w:bCs/>
      <w:sz w:val="30"/>
      <w:szCs w:val="32"/>
    </w:rPr>
  </w:style>
  <w:style w:type="character" w:customStyle="1" w:styleId="38">
    <w:name w:val="标题 3 字符"/>
    <w:basedOn w:val="31"/>
    <w:link w:val="5"/>
    <w:autoRedefine/>
    <w:qFormat/>
    <w:uiPriority w:val="0"/>
    <w:rPr>
      <w:rFonts w:ascii="宋体" w:hAnsi="宋体" w:eastAsiaTheme="majorEastAsia"/>
      <w:b/>
      <w:bCs/>
      <w:sz w:val="28"/>
      <w:szCs w:val="32"/>
    </w:rPr>
  </w:style>
  <w:style w:type="character" w:customStyle="1" w:styleId="39">
    <w:name w:val="标题 4 字符"/>
    <w:basedOn w:val="31"/>
    <w:link w:val="6"/>
    <w:autoRedefine/>
    <w:qFormat/>
    <w:uiPriority w:val="99"/>
    <w:rPr>
      <w:rFonts w:ascii="宋体" w:hAnsi="宋体" w:eastAsiaTheme="majorEastAsia" w:cstheme="majorBidi"/>
      <w:b/>
      <w:bCs/>
      <w:sz w:val="24"/>
      <w:szCs w:val="28"/>
    </w:rPr>
  </w:style>
  <w:style w:type="paragraph" w:styleId="40">
    <w:name w:val="No Spacing"/>
    <w:link w:val="53"/>
    <w:autoRedefine/>
    <w:qFormat/>
    <w:uiPriority w:val="1"/>
    <w:pPr>
      <w:widowControl w:val="0"/>
      <w:spacing w:line="360" w:lineRule="auto"/>
      <w:jc w:val="both"/>
    </w:pPr>
    <w:rPr>
      <w:rFonts w:ascii="宋体" w:hAnsi="宋体" w:eastAsiaTheme="minorEastAsia" w:cstheme="minorBidi"/>
      <w:kern w:val="2"/>
      <w:sz w:val="24"/>
      <w:szCs w:val="22"/>
      <w:lang w:val="en-US" w:eastAsia="zh-CN" w:bidi="ar-SA"/>
    </w:rPr>
  </w:style>
  <w:style w:type="character" w:customStyle="1" w:styleId="41">
    <w:name w:val="标题 5 字符"/>
    <w:basedOn w:val="31"/>
    <w:link w:val="7"/>
    <w:autoRedefine/>
    <w:qFormat/>
    <w:uiPriority w:val="9"/>
    <w:rPr>
      <w:rFonts w:ascii="宋体" w:hAnsi="宋体"/>
      <w:b/>
      <w:bCs/>
      <w:sz w:val="24"/>
      <w:szCs w:val="28"/>
    </w:rPr>
  </w:style>
  <w:style w:type="paragraph" w:customStyle="1" w:styleId="42">
    <w:name w:val="列出段落1"/>
    <w:basedOn w:val="1"/>
    <w:autoRedefine/>
    <w:qFormat/>
    <w:uiPriority w:val="0"/>
    <w:pPr>
      <w:spacing w:line="240" w:lineRule="auto"/>
      <w:ind w:firstLine="420"/>
    </w:pPr>
    <w:rPr>
      <w:rFonts w:ascii="Times New Roman" w:hAnsi="Times New Roman" w:eastAsia="宋体" w:cs="Times New Roman"/>
      <w:sz w:val="21"/>
      <w:szCs w:val="24"/>
    </w:rPr>
  </w:style>
  <w:style w:type="paragraph" w:styleId="43">
    <w:name w:val="List Paragraph"/>
    <w:basedOn w:val="1"/>
    <w:autoRedefine/>
    <w:qFormat/>
    <w:uiPriority w:val="34"/>
    <w:pPr>
      <w:ind w:firstLine="420"/>
    </w:pPr>
  </w:style>
  <w:style w:type="character" w:customStyle="1" w:styleId="44">
    <w:name w:val="标题 6 字符"/>
    <w:basedOn w:val="31"/>
    <w:link w:val="8"/>
    <w:autoRedefine/>
    <w:qFormat/>
    <w:uiPriority w:val="9"/>
    <w:rPr>
      <w:rFonts w:asciiTheme="majorHAnsi" w:hAnsiTheme="majorHAnsi" w:eastAsiaTheme="majorEastAsia" w:cstheme="majorBidi"/>
      <w:b/>
      <w:bCs/>
      <w:sz w:val="24"/>
      <w:szCs w:val="24"/>
    </w:rPr>
  </w:style>
  <w:style w:type="character" w:customStyle="1" w:styleId="45">
    <w:name w:val="标题 7 字符"/>
    <w:basedOn w:val="31"/>
    <w:link w:val="9"/>
    <w:autoRedefine/>
    <w:qFormat/>
    <w:uiPriority w:val="9"/>
    <w:rPr>
      <w:rFonts w:ascii="宋体" w:hAnsi="宋体"/>
      <w:b/>
      <w:bCs/>
      <w:sz w:val="24"/>
      <w:szCs w:val="24"/>
    </w:rPr>
  </w:style>
  <w:style w:type="character" w:customStyle="1" w:styleId="46">
    <w:name w:val="标题 8 字符"/>
    <w:basedOn w:val="31"/>
    <w:link w:val="10"/>
    <w:autoRedefine/>
    <w:qFormat/>
    <w:uiPriority w:val="9"/>
    <w:rPr>
      <w:rFonts w:asciiTheme="majorHAnsi" w:hAnsiTheme="majorHAnsi" w:eastAsiaTheme="majorEastAsia" w:cstheme="majorBidi"/>
      <w:b/>
      <w:sz w:val="24"/>
      <w:szCs w:val="24"/>
    </w:rPr>
  </w:style>
  <w:style w:type="character" w:customStyle="1" w:styleId="47">
    <w:name w:val="标题 9 字符"/>
    <w:basedOn w:val="31"/>
    <w:link w:val="11"/>
    <w:autoRedefine/>
    <w:qFormat/>
    <w:uiPriority w:val="9"/>
    <w:rPr>
      <w:rFonts w:asciiTheme="majorHAnsi" w:hAnsiTheme="majorHAnsi" w:eastAsiaTheme="majorEastAsia" w:cstheme="majorBidi"/>
      <w:b/>
      <w:szCs w:val="21"/>
    </w:rPr>
  </w:style>
  <w:style w:type="character" w:customStyle="1" w:styleId="48">
    <w:name w:val="批注框文本 字符"/>
    <w:basedOn w:val="31"/>
    <w:link w:val="19"/>
    <w:autoRedefine/>
    <w:qFormat/>
    <w:uiPriority w:val="0"/>
    <w:rPr>
      <w:rFonts w:ascii="宋体" w:hAnsi="宋体"/>
      <w:sz w:val="18"/>
      <w:szCs w:val="18"/>
    </w:rPr>
  </w:style>
  <w:style w:type="paragraph" w:customStyle="1" w:styleId="49">
    <w:name w:val="TOC 标题1"/>
    <w:basedOn w:val="3"/>
    <w:next w:val="1"/>
    <w:autoRedefine/>
    <w:unhideWhenUsed/>
    <w:qFormat/>
    <w:uiPriority w:val="39"/>
    <w:pPr>
      <w:widowControl/>
      <w:numPr>
        <w:numId w:val="0"/>
      </w:numPr>
      <w:spacing w:before="240" w:after="0" w:line="259" w:lineRule="auto"/>
      <w:jc w:val="left"/>
      <w:outlineLvl w:val="9"/>
    </w:pPr>
    <w:rPr>
      <w:rFonts w:asciiTheme="majorHAnsi" w:hAnsiTheme="majorHAnsi" w:cstheme="majorBidi"/>
      <w:b w:val="0"/>
      <w:bCs w:val="0"/>
      <w:color w:val="2E75B6" w:themeColor="accent1" w:themeShade="BF"/>
      <w:kern w:val="0"/>
      <w:szCs w:val="32"/>
    </w:rPr>
  </w:style>
  <w:style w:type="character" w:customStyle="1" w:styleId="50">
    <w:name w:val="正文缩进 字符"/>
    <w:link w:val="13"/>
    <w:autoRedefine/>
    <w:qFormat/>
    <w:uiPriority w:val="0"/>
    <w:rPr>
      <w:rFonts w:ascii="Times New Roman" w:hAnsi="Times New Roman" w:eastAsia="宋体" w:cs="Times New Roman"/>
      <w:szCs w:val="21"/>
    </w:rPr>
  </w:style>
  <w:style w:type="character" w:customStyle="1" w:styleId="51">
    <w:name w:val="正文缩进 字符1"/>
    <w:autoRedefine/>
    <w:qFormat/>
    <w:uiPriority w:val="0"/>
    <w:rPr>
      <w:rFonts w:eastAsia="宋体"/>
      <w:kern w:val="2"/>
      <w:sz w:val="21"/>
      <w:szCs w:val="21"/>
      <w:lang w:val="en-US" w:eastAsia="zh-CN" w:bidi="ar-SA"/>
    </w:rPr>
  </w:style>
  <w:style w:type="character" w:customStyle="1" w:styleId="52">
    <w:name w:val="未处理的提及1"/>
    <w:basedOn w:val="31"/>
    <w:autoRedefine/>
    <w:semiHidden/>
    <w:unhideWhenUsed/>
    <w:qFormat/>
    <w:uiPriority w:val="99"/>
    <w:rPr>
      <w:color w:val="605E5C"/>
      <w:shd w:val="clear" w:color="auto" w:fill="E1DFDD"/>
    </w:rPr>
  </w:style>
  <w:style w:type="character" w:customStyle="1" w:styleId="53">
    <w:name w:val="无间隔 字符"/>
    <w:link w:val="40"/>
    <w:autoRedefine/>
    <w:qFormat/>
    <w:uiPriority w:val="1"/>
    <w:rPr>
      <w:rFonts w:ascii="宋体" w:hAnsi="宋体"/>
      <w:sz w:val="24"/>
    </w:rPr>
  </w:style>
  <w:style w:type="character" w:customStyle="1" w:styleId="54">
    <w:name w:val="正文文本 字符"/>
    <w:basedOn w:val="31"/>
    <w:link w:val="2"/>
    <w:autoRedefine/>
    <w:qFormat/>
    <w:uiPriority w:val="0"/>
    <w:rPr>
      <w:rFonts w:ascii="楷体_GB2312" w:hAnsi="Arial" w:eastAsia="楷体_GB2312" w:cs="Times New Roman"/>
      <w:sz w:val="28"/>
      <w:szCs w:val="28"/>
    </w:rPr>
  </w:style>
  <w:style w:type="paragraph" w:customStyle="1" w:styleId="55">
    <w:name w:val="Table Paragraph"/>
    <w:basedOn w:val="1"/>
    <w:autoRedefine/>
    <w:qFormat/>
    <w:uiPriority w:val="1"/>
    <w:pPr>
      <w:ind w:firstLine="0" w:firstLineChars="0"/>
    </w:pPr>
    <w:rPr>
      <w:rFonts w:eastAsia="宋体" w:cs="宋体"/>
      <w:szCs w:val="20"/>
      <w:lang w:val="zh-CN" w:bidi="zh-CN"/>
    </w:rPr>
  </w:style>
  <w:style w:type="character" w:customStyle="1" w:styleId="56">
    <w:name w:val="正文文本缩进 字符"/>
    <w:basedOn w:val="31"/>
    <w:link w:val="15"/>
    <w:autoRedefine/>
    <w:semiHidden/>
    <w:qFormat/>
    <w:uiPriority w:val="99"/>
    <w:rPr>
      <w:rFonts w:ascii="宋体" w:hAnsi="宋体"/>
      <w:sz w:val="24"/>
    </w:rPr>
  </w:style>
  <w:style w:type="character" w:customStyle="1" w:styleId="57">
    <w:name w:val="正文文本首行缩进 2 字符"/>
    <w:basedOn w:val="56"/>
    <w:link w:val="28"/>
    <w:autoRedefine/>
    <w:semiHidden/>
    <w:qFormat/>
    <w:uiPriority w:val="99"/>
    <w:rPr>
      <w:rFonts w:ascii="宋体" w:hAnsi="宋体"/>
      <w:sz w:val="24"/>
    </w:rPr>
  </w:style>
  <w:style w:type="paragraph" w:customStyle="1" w:styleId="58">
    <w:name w:val="Char Char Char1 Char"/>
    <w:basedOn w:val="1"/>
    <w:autoRedefine/>
    <w:qFormat/>
    <w:uiPriority w:val="0"/>
    <w:pPr>
      <w:spacing w:line="240" w:lineRule="auto"/>
      <w:ind w:firstLine="0" w:firstLineChars="0"/>
    </w:pPr>
    <w:rPr>
      <w:rFonts w:ascii="Times New Roman" w:hAnsi="Times New Roman" w:eastAsia="宋体" w:cs="Times New Roman"/>
      <w:sz w:val="21"/>
      <w:szCs w:val="20"/>
    </w:rPr>
  </w:style>
  <w:style w:type="character" w:customStyle="1" w:styleId="59">
    <w:name w:val="15"/>
    <w:autoRedefine/>
    <w:qFormat/>
    <w:uiPriority w:val="0"/>
    <w:rPr>
      <w:rFonts w:hint="default" w:ascii="Times New Roman" w:hAnsi="Times New Roman" w:cs="Times New Roman"/>
      <w:b/>
    </w:rPr>
  </w:style>
  <w:style w:type="character" w:customStyle="1" w:styleId="60">
    <w:name w:val="批注文字 字符"/>
    <w:basedOn w:val="31"/>
    <w:link w:val="14"/>
    <w:autoRedefine/>
    <w:qFormat/>
    <w:uiPriority w:val="99"/>
    <w:rPr>
      <w:rFonts w:ascii="宋体" w:hAnsi="宋体"/>
      <w:sz w:val="24"/>
    </w:rPr>
  </w:style>
  <w:style w:type="character" w:customStyle="1" w:styleId="61">
    <w:name w:val="批注主题 字符"/>
    <w:basedOn w:val="60"/>
    <w:link w:val="27"/>
    <w:autoRedefine/>
    <w:semiHidden/>
    <w:qFormat/>
    <w:uiPriority w:val="99"/>
    <w:rPr>
      <w:rFonts w:ascii="宋体" w:hAnsi="宋体"/>
      <w:b/>
      <w:bCs/>
      <w:sz w:val="24"/>
    </w:rPr>
  </w:style>
  <w:style w:type="character" w:customStyle="1" w:styleId="62">
    <w:name w:val="不明显强调1"/>
    <w:basedOn w:val="31"/>
    <w:autoRedefine/>
    <w:qFormat/>
    <w:uiPriority w:val="19"/>
    <w:rPr>
      <w:i/>
      <w:iCs/>
      <w:color w:val="404040" w:themeColor="text1" w:themeTint="BF"/>
      <w14:textFill>
        <w14:solidFill>
          <w14:schemeClr w14:val="tx1">
            <w14:lumMod w14:val="75000"/>
            <w14:lumOff w14:val="25000"/>
          </w14:schemeClr>
        </w14:solidFill>
      </w14:textFill>
    </w:rPr>
  </w:style>
  <w:style w:type="paragraph" w:customStyle="1" w:styleId="63">
    <w:name w:val="Table Text"/>
    <w:basedOn w:val="1"/>
    <w:autoRedefine/>
    <w:semiHidden/>
    <w:qFormat/>
    <w:uiPriority w:val="0"/>
    <w:rPr>
      <w:rFonts w:eastAsia="宋体" w:cs="宋体"/>
      <w:sz w:val="21"/>
      <w:szCs w:val="21"/>
      <w:lang w:eastAsia="en-US"/>
    </w:rPr>
  </w:style>
  <w:style w:type="table" w:customStyle="1" w:styleId="6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34FB7-E588-4241-A191-F05739CBA195}">
  <ds:schemaRefs/>
</ds:datastoreItem>
</file>

<file path=docProps/app.xml><?xml version="1.0" encoding="utf-8"?>
<Properties xmlns="http://schemas.openxmlformats.org/officeDocument/2006/extended-properties" xmlns:vt="http://schemas.openxmlformats.org/officeDocument/2006/docPropsVTypes">
  <Template>Normal</Template>
  <Pages>21</Pages>
  <Words>2824</Words>
  <Characters>16102</Characters>
  <Lines>134</Lines>
  <Paragraphs>37</Paragraphs>
  <TotalTime>19</TotalTime>
  <ScaleCrop>false</ScaleCrop>
  <LinksUpToDate>false</LinksUpToDate>
  <CharactersWithSpaces>18889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2024-03-11T06:00:00Z</dcterms:created>
  <dc:creator>qq q</dc:creator>
  <cp:lastModifiedBy>叶阿娜</cp:lastModifiedBy>
  <cp:lastPrinted>2022-06-18T00:44:00Z</cp:lastPrinted>
  <dcterms:modified xsi:type="dcterms:W3CDTF">2024-04-19T06:45:51Z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C75355508C8540B1A9F70E4CB5D75DA5_13</vt:lpwstr>
  </property>
</Properties>
</file>