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120" w:after="120" w:line="360" w:lineRule="auto"/>
        <w:ind w:left="0" w:leftChars="0" w:right="0" w:rightChars="0" w:firstLine="0" w:firstLineChars="0"/>
        <w:jc w:val="center"/>
        <w:textAlignment w:val="auto"/>
        <w:outlineLvl w:val="9"/>
        <w:rPr>
          <w:rFonts w:hint="eastAsia" w:ascii="宋体" w:hAnsi="宋体" w:eastAsia="宋体" w:cs="宋体"/>
          <w:b/>
          <w:bCs/>
          <w:sz w:val="28"/>
          <w:szCs w:val="21"/>
          <w:lang w:val="en-US" w:eastAsia="zh-CN"/>
        </w:rPr>
      </w:pPr>
      <w:r>
        <w:rPr>
          <w:rFonts w:hint="eastAsia" w:ascii="宋体" w:hAnsi="宋体" w:eastAsia="宋体" w:cs="宋体"/>
          <w:b/>
          <w:bCs/>
          <w:sz w:val="28"/>
          <w:szCs w:val="21"/>
          <w:lang w:val="en-US" w:eastAsia="zh-CN"/>
        </w:rPr>
        <w:t>第</w:t>
      </w:r>
      <w:r>
        <w:rPr>
          <w:rFonts w:hint="eastAsia" w:cs="宋体"/>
          <w:b/>
          <w:bCs/>
          <w:sz w:val="28"/>
          <w:szCs w:val="21"/>
          <w:lang w:val="en-US" w:eastAsia="zh-CN"/>
        </w:rPr>
        <w:t>三</w:t>
      </w:r>
      <w:r>
        <w:rPr>
          <w:rFonts w:hint="eastAsia" w:ascii="宋体" w:hAnsi="宋体" w:eastAsia="宋体" w:cs="宋体"/>
          <w:b/>
          <w:bCs/>
          <w:sz w:val="28"/>
          <w:szCs w:val="21"/>
          <w:lang w:val="en-US" w:eastAsia="zh-CN"/>
        </w:rPr>
        <w:t>医院202</w:t>
      </w:r>
      <w:r>
        <w:rPr>
          <w:rFonts w:hint="eastAsia" w:cs="宋体"/>
          <w:b/>
          <w:bCs/>
          <w:sz w:val="28"/>
          <w:szCs w:val="21"/>
          <w:lang w:val="en-US" w:eastAsia="zh-CN"/>
        </w:rPr>
        <w:t>2</w:t>
      </w:r>
      <w:r>
        <w:rPr>
          <w:rFonts w:hint="eastAsia" w:ascii="宋体" w:hAnsi="宋体" w:eastAsia="宋体" w:cs="宋体"/>
          <w:b/>
          <w:bCs/>
          <w:sz w:val="28"/>
          <w:szCs w:val="21"/>
          <w:lang w:val="en-US" w:eastAsia="zh-CN"/>
        </w:rPr>
        <w:t>-202</w:t>
      </w:r>
      <w:r>
        <w:rPr>
          <w:rFonts w:hint="eastAsia" w:cs="宋体"/>
          <w:b/>
          <w:bCs/>
          <w:sz w:val="28"/>
          <w:szCs w:val="21"/>
          <w:lang w:val="en-US" w:eastAsia="zh-CN"/>
        </w:rPr>
        <w:t>3</w:t>
      </w:r>
      <w:r>
        <w:rPr>
          <w:rFonts w:hint="eastAsia" w:ascii="宋体" w:hAnsi="宋体" w:eastAsia="宋体" w:cs="宋体"/>
          <w:b/>
          <w:bCs/>
          <w:sz w:val="28"/>
          <w:szCs w:val="21"/>
          <w:lang w:val="en-US" w:eastAsia="zh-CN"/>
        </w:rPr>
        <w:t>年度医疗责任险方案</w:t>
      </w:r>
    </w:p>
    <w:p>
      <w:pPr>
        <w:numPr>
          <w:ilvl w:val="0"/>
          <w:numId w:val="1"/>
        </w:numPr>
        <w:spacing w:line="360" w:lineRule="auto"/>
        <w:outlineLvl w:val="1"/>
        <w:rPr>
          <w:rFonts w:ascii="宋体" w:hAnsi="宋体" w:cs="宋体"/>
          <w:sz w:val="24"/>
        </w:rPr>
      </w:pPr>
      <w:r>
        <w:rPr>
          <w:rFonts w:hint="eastAsia" w:ascii="宋体" w:hAnsi="宋体" w:cs="宋体"/>
          <w:b/>
          <w:sz w:val="24"/>
        </w:rPr>
        <w:t>投保人/被保险人：</w:t>
      </w:r>
      <w:r>
        <w:rPr>
          <w:rFonts w:hint="eastAsia" w:ascii="宋体" w:hAnsi="宋体" w:cs="宋体"/>
          <w:sz w:val="24"/>
          <w:lang w:val="en-US" w:eastAsia="zh-CN"/>
        </w:rPr>
        <w:t>第三医院</w:t>
      </w:r>
    </w:p>
    <w:p>
      <w:pPr>
        <w:numPr>
          <w:ilvl w:val="0"/>
          <w:numId w:val="1"/>
        </w:numPr>
        <w:spacing w:line="360" w:lineRule="auto"/>
        <w:outlineLvl w:val="1"/>
        <w:rPr>
          <w:rFonts w:ascii="宋体" w:hAnsi="宋体" w:cs="宋体"/>
          <w:b/>
          <w:sz w:val="24"/>
        </w:rPr>
      </w:pPr>
      <w:bookmarkStart w:id="0" w:name="_Toc454381560"/>
      <w:bookmarkStart w:id="1" w:name="_Toc454391781"/>
      <w:r>
        <w:rPr>
          <w:rFonts w:hint="eastAsia" w:ascii="宋体" w:hAnsi="宋体" w:cs="宋体"/>
          <w:b/>
          <w:sz w:val="24"/>
        </w:rPr>
        <w:t>保险责任：</w:t>
      </w:r>
      <w:bookmarkEnd w:id="0"/>
      <w:bookmarkEnd w:id="1"/>
    </w:p>
    <w:p>
      <w:pPr>
        <w:numPr>
          <w:ilvl w:val="0"/>
          <w:numId w:val="2"/>
        </w:numPr>
        <w:spacing w:line="360" w:lineRule="auto"/>
        <w:rPr>
          <w:rFonts w:ascii="宋体" w:hAnsi="宋体" w:cs="宋体"/>
          <w:b/>
          <w:sz w:val="24"/>
        </w:rPr>
      </w:pPr>
      <w:r>
        <w:rPr>
          <w:rFonts w:hint="eastAsia" w:ascii="宋体" w:hAnsi="宋体" w:cs="宋体"/>
          <w:b/>
          <w:sz w:val="24"/>
        </w:rPr>
        <w:t>、医疗责任险：</w:t>
      </w:r>
    </w:p>
    <w:p>
      <w:pPr>
        <w:numPr>
          <w:ilvl w:val="0"/>
          <w:numId w:val="3"/>
        </w:numPr>
        <w:spacing w:line="360" w:lineRule="auto"/>
        <w:rPr>
          <w:rFonts w:ascii="宋体" w:hAnsi="宋体" w:cs="宋体"/>
          <w:sz w:val="24"/>
        </w:rPr>
      </w:pPr>
      <w:r>
        <w:rPr>
          <w:rFonts w:hint="eastAsia" w:ascii="宋体" w:hAnsi="宋体" w:cs="宋体"/>
          <w:sz w:val="24"/>
        </w:rPr>
        <w:t>在保险单明细表中列明的保险期限及承保区域范围内，甲方投保的医务人员在诊疗护理活动中，因执业过失造成患者人身损害，在保险期限或索赔时效内，由患者或其近亲属首次向甲方提出索赔申请，依法应由甲方承担民事赔偿责任时，乙方根据保险合同的约定负责赔偿。</w:t>
      </w:r>
    </w:p>
    <w:p>
      <w:pPr>
        <w:numPr>
          <w:ilvl w:val="0"/>
          <w:numId w:val="3"/>
        </w:numPr>
        <w:spacing w:line="360" w:lineRule="auto"/>
        <w:rPr>
          <w:rFonts w:ascii="宋体" w:hAnsi="宋体" w:cs="宋体"/>
          <w:sz w:val="24"/>
        </w:rPr>
      </w:pPr>
      <w:r>
        <w:rPr>
          <w:rFonts w:hint="eastAsia" w:ascii="宋体" w:hAnsi="宋体" w:cs="宋体"/>
          <w:sz w:val="24"/>
        </w:rPr>
        <w:t>保险事故发生后，被保险人因保险事故而与受害人之间产生纠纷，对应由被保险人支付的法律费用（包括事故鉴定费、查勘费、取证费、仲裁或诉讼费、案件受理费等）以及事先经保险人书面同意支付的其他必要的、合理的费用，保险人按照本保险合同约定也负责赔偿。</w:t>
      </w:r>
    </w:p>
    <w:p>
      <w:pPr>
        <w:numPr>
          <w:ilvl w:val="0"/>
          <w:numId w:val="4"/>
        </w:numPr>
        <w:spacing w:line="360" w:lineRule="auto"/>
        <w:rPr>
          <w:rFonts w:ascii="宋体" w:hAnsi="宋体" w:cs="宋体"/>
          <w:b/>
          <w:sz w:val="24"/>
        </w:rPr>
      </w:pPr>
      <w:r>
        <w:rPr>
          <w:rFonts w:hint="eastAsia" w:ascii="宋体" w:hAnsi="宋体" w:cs="宋体"/>
          <w:b/>
          <w:sz w:val="24"/>
        </w:rPr>
        <w:t>附加医疗意外责任：</w:t>
      </w:r>
    </w:p>
    <w:p>
      <w:pPr>
        <w:pStyle w:val="7"/>
        <w:spacing w:line="360" w:lineRule="auto"/>
        <w:ind w:firstLine="424" w:firstLineChars="177"/>
        <w:rPr>
          <w:rFonts w:ascii="宋体" w:hAnsi="宋体" w:cs="宋体"/>
          <w:sz w:val="24"/>
        </w:rPr>
      </w:pPr>
      <w:r>
        <w:rPr>
          <w:rFonts w:hint="eastAsia" w:ascii="宋体" w:hAnsi="宋体" w:cs="宋体"/>
          <w:sz w:val="24"/>
        </w:rPr>
        <w:t>在保险单明细表中列明的保险期限及承保区域范围内，甲方的投保医务人员在诊疗护理活动中，因下列情形造成患者人身损害，在本保险期限或索赔时效内，由患者或其近亲属首次向甲方提出索赔申请，依法应由甲方承担民事赔偿责任时，乙方根据保险合同的约定责任赔偿：</w:t>
      </w:r>
    </w:p>
    <w:p>
      <w:pPr>
        <w:numPr>
          <w:ilvl w:val="0"/>
          <w:numId w:val="5"/>
        </w:numPr>
        <w:spacing w:line="360" w:lineRule="auto"/>
        <w:rPr>
          <w:rFonts w:ascii="宋体" w:hAnsi="宋体" w:cs="宋体"/>
          <w:sz w:val="24"/>
        </w:rPr>
      </w:pPr>
      <w:r>
        <w:rPr>
          <w:rFonts w:hint="eastAsia" w:ascii="宋体" w:hAnsi="宋体" w:cs="宋体"/>
          <w:sz w:val="24"/>
        </w:rPr>
        <w:t>在诊疗护理过程中由于病情或患者体质特殊而发生的难以预料或在预料之中但难以防范的不良后果；</w:t>
      </w:r>
    </w:p>
    <w:p>
      <w:pPr>
        <w:numPr>
          <w:ilvl w:val="0"/>
          <w:numId w:val="5"/>
        </w:numPr>
        <w:spacing w:line="360" w:lineRule="auto"/>
        <w:rPr>
          <w:rFonts w:ascii="宋体" w:hAnsi="宋体" w:cs="宋体"/>
          <w:sz w:val="24"/>
        </w:rPr>
      </w:pPr>
      <w:r>
        <w:rPr>
          <w:rFonts w:hint="eastAsia" w:ascii="宋体" w:hAnsi="宋体" w:cs="宋体"/>
          <w:sz w:val="24"/>
        </w:rPr>
        <w:t>按照正常的技术规范操作，仍然发生难以避免的并发症或者治疗意外；</w:t>
      </w:r>
    </w:p>
    <w:p>
      <w:pPr>
        <w:numPr>
          <w:ilvl w:val="0"/>
          <w:numId w:val="5"/>
        </w:numPr>
        <w:spacing w:line="360" w:lineRule="auto"/>
        <w:rPr>
          <w:rFonts w:ascii="宋体" w:hAnsi="宋体" w:cs="宋体"/>
          <w:sz w:val="24"/>
        </w:rPr>
      </w:pPr>
      <w:r>
        <w:rPr>
          <w:rFonts w:hint="eastAsia" w:ascii="宋体" w:hAnsi="宋体" w:cs="宋体"/>
          <w:sz w:val="24"/>
        </w:rPr>
        <w:t>应用现有医学科学技术，仍然发生无法预料或难以防范的不良后果；</w:t>
      </w:r>
    </w:p>
    <w:p>
      <w:pPr>
        <w:numPr>
          <w:ilvl w:val="0"/>
          <w:numId w:val="5"/>
        </w:numPr>
        <w:spacing w:line="360" w:lineRule="auto"/>
        <w:rPr>
          <w:rFonts w:ascii="宋体" w:hAnsi="宋体" w:cs="宋体"/>
          <w:sz w:val="24"/>
        </w:rPr>
      </w:pPr>
      <w:r>
        <w:rPr>
          <w:rFonts w:hint="eastAsia" w:ascii="宋体" w:hAnsi="宋体" w:cs="宋体"/>
          <w:sz w:val="24"/>
        </w:rPr>
        <w:t>在危急情况下为抢救危重患者生命而采取的紧急措施所造成的不良后果。</w:t>
      </w:r>
    </w:p>
    <w:p>
      <w:pPr>
        <w:numPr>
          <w:ilvl w:val="0"/>
          <w:numId w:val="1"/>
        </w:numPr>
        <w:spacing w:line="360" w:lineRule="auto"/>
        <w:outlineLvl w:val="1"/>
        <w:rPr>
          <w:rFonts w:ascii="宋体" w:hAnsi="宋体" w:cs="宋体"/>
          <w:sz w:val="24"/>
        </w:rPr>
      </w:pPr>
      <w:bookmarkStart w:id="2" w:name="_Toc454391782"/>
      <w:bookmarkStart w:id="3" w:name="_Toc454381561"/>
      <w:bookmarkStart w:id="4" w:name="_Toc11434"/>
      <w:r>
        <w:rPr>
          <w:rFonts w:hint="eastAsia" w:ascii="宋体" w:hAnsi="宋体" w:cs="宋体"/>
          <w:b/>
          <w:sz w:val="24"/>
        </w:rPr>
        <w:t>保险期限：</w:t>
      </w:r>
      <w:bookmarkEnd w:id="2"/>
      <w:bookmarkEnd w:id="3"/>
      <w:r>
        <w:rPr>
          <w:rFonts w:hint="eastAsia" w:ascii="宋体" w:hAnsi="宋体" w:cs="宋体"/>
          <w:sz w:val="24"/>
        </w:rPr>
        <w:t>一年</w:t>
      </w:r>
    </w:p>
    <w:p>
      <w:pPr>
        <w:numPr>
          <w:ilvl w:val="0"/>
          <w:numId w:val="1"/>
        </w:numPr>
        <w:spacing w:line="360" w:lineRule="auto"/>
        <w:outlineLvl w:val="1"/>
        <w:rPr>
          <w:rFonts w:ascii="宋体" w:hAnsi="宋体" w:cs="宋体"/>
          <w:sz w:val="24"/>
        </w:rPr>
      </w:pPr>
      <w:bookmarkStart w:id="5" w:name="_Toc454391783"/>
      <w:bookmarkStart w:id="6" w:name="_Toc454381562"/>
      <w:r>
        <w:rPr>
          <w:rFonts w:hint="eastAsia" w:ascii="宋体" w:hAnsi="宋体" w:cs="宋体"/>
          <w:b/>
          <w:sz w:val="24"/>
        </w:rPr>
        <w:t>索赔方式：</w:t>
      </w:r>
      <w:bookmarkEnd w:id="5"/>
      <w:bookmarkEnd w:id="6"/>
      <w:r>
        <w:rPr>
          <w:rFonts w:hint="eastAsia" w:ascii="宋体" w:hAnsi="宋体" w:cs="宋体"/>
          <w:sz w:val="24"/>
        </w:rPr>
        <w:t>事故发生制（索赔时效3年，索赔时效至202</w:t>
      </w:r>
      <w:r>
        <w:rPr>
          <w:rFonts w:hint="eastAsia" w:cs="宋体"/>
          <w:sz w:val="24"/>
          <w:lang w:val="en-US" w:eastAsia="zh-CN"/>
        </w:rPr>
        <w:t>6</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日24时止）</w:t>
      </w:r>
    </w:p>
    <w:p>
      <w:pPr>
        <w:numPr>
          <w:ilvl w:val="0"/>
          <w:numId w:val="1"/>
        </w:numPr>
        <w:spacing w:line="360" w:lineRule="auto"/>
        <w:outlineLvl w:val="1"/>
        <w:rPr>
          <w:rFonts w:ascii="宋体" w:hAnsi="宋体" w:cs="宋体"/>
          <w:b/>
          <w:sz w:val="24"/>
        </w:rPr>
      </w:pPr>
      <w:bookmarkStart w:id="7" w:name="_Toc454391784"/>
      <w:bookmarkStart w:id="8" w:name="_Toc454381563"/>
      <w:r>
        <w:rPr>
          <w:rFonts w:hint="eastAsia" w:ascii="宋体" w:hAnsi="宋体" w:cs="宋体"/>
          <w:b/>
          <w:sz w:val="24"/>
        </w:rPr>
        <w:t>保险费标准</w:t>
      </w:r>
      <w:bookmarkEnd w:id="4"/>
      <w:r>
        <w:rPr>
          <w:rFonts w:hint="eastAsia" w:ascii="宋体" w:hAnsi="宋体" w:cs="宋体"/>
          <w:b/>
          <w:sz w:val="24"/>
        </w:rPr>
        <w:t>：</w:t>
      </w:r>
      <w:bookmarkEnd w:id="7"/>
      <w:bookmarkEnd w:id="8"/>
      <w:r>
        <w:rPr>
          <w:rFonts w:hint="eastAsia" w:cs="宋体"/>
          <w:sz w:val="24"/>
          <w:lang w:val="en-US" w:eastAsia="zh-CN"/>
        </w:rPr>
        <w:t>99.8</w:t>
      </w:r>
      <w:r>
        <w:rPr>
          <w:rFonts w:hint="eastAsia" w:ascii="宋体" w:hAnsi="宋体" w:cs="宋体"/>
          <w:sz w:val="24"/>
        </w:rPr>
        <w:t>万元/年</w:t>
      </w:r>
    </w:p>
    <w:p>
      <w:pPr>
        <w:numPr>
          <w:ilvl w:val="0"/>
          <w:numId w:val="1"/>
        </w:numPr>
        <w:spacing w:line="360" w:lineRule="auto"/>
        <w:outlineLvl w:val="1"/>
        <w:rPr>
          <w:rFonts w:ascii="宋体" w:hAnsi="宋体" w:cs="宋体"/>
          <w:color w:val="FF0000"/>
          <w:sz w:val="24"/>
        </w:rPr>
      </w:pPr>
      <w:bookmarkStart w:id="9" w:name="_Toc454381564"/>
      <w:bookmarkStart w:id="10" w:name="_Toc454391785"/>
      <w:bookmarkStart w:id="11" w:name="_Toc26249"/>
      <w:r>
        <w:rPr>
          <w:rFonts w:hint="eastAsia" w:ascii="宋体" w:hAnsi="宋体" w:cs="宋体"/>
          <w:b/>
          <w:sz w:val="24"/>
        </w:rPr>
        <w:t>赔偿限额</w:t>
      </w:r>
      <w:bookmarkEnd w:id="9"/>
      <w:bookmarkEnd w:id="10"/>
      <w:bookmarkEnd w:id="11"/>
    </w:p>
    <w:p>
      <w:pPr>
        <w:numPr>
          <w:ilvl w:val="0"/>
          <w:numId w:val="6"/>
        </w:numPr>
        <w:spacing w:line="360" w:lineRule="auto"/>
        <w:rPr>
          <w:rFonts w:ascii="宋体" w:hAnsi="宋体" w:cs="宋体"/>
          <w:b/>
          <w:sz w:val="24"/>
        </w:rPr>
      </w:pPr>
      <w:r>
        <w:rPr>
          <w:rFonts w:hint="eastAsia" w:ascii="宋体" w:hAnsi="宋体" w:cs="宋体"/>
          <w:b/>
          <w:sz w:val="24"/>
        </w:rPr>
        <w:t>医疗责任险：</w:t>
      </w:r>
    </w:p>
    <w:p>
      <w:pPr>
        <w:spacing w:line="360" w:lineRule="auto"/>
        <w:ind w:left="1" w:firstLine="482" w:firstLineChars="200"/>
        <w:outlineLvl w:val="1"/>
        <w:rPr>
          <w:rFonts w:ascii="宋体" w:hAnsi="宋体" w:cs="宋体"/>
          <w:sz w:val="24"/>
        </w:rPr>
      </w:pPr>
      <w:bookmarkStart w:id="12" w:name="_Toc454391792"/>
      <w:bookmarkStart w:id="13" w:name="_Toc454381571"/>
      <w:r>
        <w:rPr>
          <w:rFonts w:hint="eastAsia" w:ascii="宋体" w:hAnsi="宋体" w:cs="宋体"/>
          <w:b/>
          <w:sz w:val="24"/>
        </w:rPr>
        <w:t>累计赔偿限额合计：</w:t>
      </w:r>
      <w:r>
        <w:rPr>
          <w:rFonts w:hint="eastAsia" w:ascii="宋体" w:hAnsi="宋体" w:cs="宋体"/>
          <w:sz w:val="24"/>
        </w:rPr>
        <w:t>1</w:t>
      </w:r>
      <w:r>
        <w:rPr>
          <w:rFonts w:hint="eastAsia" w:cs="宋体"/>
          <w:sz w:val="24"/>
          <w:lang w:val="en-US" w:eastAsia="zh-CN"/>
        </w:rPr>
        <w:t>20</w:t>
      </w:r>
      <w:r>
        <w:rPr>
          <w:rFonts w:hint="eastAsia" w:ascii="宋体" w:hAnsi="宋体" w:cs="宋体"/>
          <w:sz w:val="24"/>
        </w:rPr>
        <w:t>万元/年，其中，医疗责任累计赔偿限额</w:t>
      </w:r>
      <w:r>
        <w:rPr>
          <w:rFonts w:hint="eastAsia" w:ascii="宋体" w:hAnsi="宋体" w:cs="宋体"/>
          <w:sz w:val="24"/>
          <w:lang w:val="en-US" w:eastAsia="zh-CN"/>
        </w:rPr>
        <w:t>85</w:t>
      </w:r>
      <w:r>
        <w:rPr>
          <w:rFonts w:hint="eastAsia" w:ascii="宋体" w:hAnsi="宋体" w:cs="宋体"/>
          <w:sz w:val="24"/>
        </w:rPr>
        <w:t>万元，</w:t>
      </w:r>
      <w:r>
        <w:rPr>
          <w:rFonts w:hint="eastAsia" w:ascii="宋体" w:hAnsi="宋体" w:cs="宋体"/>
          <w:sz w:val="24"/>
          <w:lang w:val="en-US" w:eastAsia="zh-CN"/>
        </w:rPr>
        <w:t>医疗意外责任与医疗责任险共用累计赔偿限额85</w:t>
      </w:r>
      <w:r>
        <w:rPr>
          <w:rFonts w:hint="eastAsia" w:ascii="宋体" w:hAnsi="宋体" w:cs="宋体"/>
          <w:sz w:val="24"/>
        </w:rPr>
        <w:t>万元，</w:t>
      </w:r>
      <w:r>
        <w:rPr>
          <w:rFonts w:hint="eastAsia" w:ascii="宋体" w:hAnsi="宋体" w:cs="宋体"/>
          <w:sz w:val="24"/>
          <w:lang w:val="en-US" w:eastAsia="zh-CN"/>
        </w:rPr>
        <w:t>法律费用累计限额</w:t>
      </w:r>
      <w:r>
        <w:rPr>
          <w:rFonts w:hint="eastAsia" w:cs="宋体"/>
          <w:sz w:val="24"/>
          <w:lang w:val="en-US" w:eastAsia="zh-CN"/>
        </w:rPr>
        <w:t>35</w:t>
      </w:r>
      <w:r>
        <w:rPr>
          <w:rFonts w:hint="eastAsia" w:ascii="宋体" w:hAnsi="宋体" w:cs="宋体"/>
          <w:sz w:val="24"/>
          <w:lang w:val="en-US" w:eastAsia="zh-CN"/>
        </w:rPr>
        <w:t>万</w:t>
      </w:r>
      <w:r>
        <w:rPr>
          <w:rFonts w:hint="eastAsia" w:ascii="宋体" w:hAnsi="宋体" w:cs="宋体"/>
          <w:sz w:val="24"/>
        </w:rPr>
        <w:t>。</w:t>
      </w:r>
      <w:bookmarkEnd w:id="12"/>
      <w:bookmarkEnd w:id="13"/>
    </w:p>
    <w:p>
      <w:pPr>
        <w:numPr>
          <w:ilvl w:val="0"/>
          <w:numId w:val="7"/>
        </w:numPr>
        <w:spacing w:line="360" w:lineRule="auto"/>
        <w:rPr>
          <w:rFonts w:ascii="宋体" w:hAnsi="宋体" w:cs="宋体"/>
          <w:b/>
          <w:sz w:val="24"/>
        </w:rPr>
      </w:pPr>
      <w:r>
        <w:rPr>
          <w:rFonts w:hint="eastAsia" w:ascii="宋体" w:hAnsi="宋体" w:cs="宋体"/>
          <w:b/>
          <w:sz w:val="24"/>
        </w:rPr>
        <w:t>年度累计赔偿限额：</w:t>
      </w:r>
    </w:p>
    <w:p>
      <w:pPr>
        <w:pStyle w:val="2"/>
        <w:rPr>
          <w:rFonts w:hint="eastAsia" w:ascii="宋体" w:hAnsi="宋体" w:eastAsia="宋体" w:cs="宋体"/>
          <w:sz w:val="24"/>
          <w:lang w:val="en-US" w:eastAsia="zh-CN" w:bidi="ar-SA"/>
        </w:rPr>
      </w:pPr>
      <w:r>
        <w:rPr>
          <w:rFonts w:hint="eastAsia" w:ascii="宋体" w:hAnsi="宋体" w:eastAsia="宋体" w:cs="宋体"/>
          <w:sz w:val="24"/>
          <w:lang w:val="en-US" w:eastAsia="zh-CN" w:bidi="ar-SA"/>
        </w:rPr>
        <w:t>累计赔偿限额：1</w:t>
      </w:r>
      <w:r>
        <w:rPr>
          <w:rFonts w:hint="eastAsia" w:ascii="宋体" w:hAnsi="宋体" w:cs="宋体"/>
          <w:sz w:val="24"/>
          <w:lang w:val="en-US" w:eastAsia="zh-CN" w:bidi="ar-SA"/>
        </w:rPr>
        <w:t>20</w:t>
      </w:r>
      <w:r>
        <w:rPr>
          <w:rFonts w:hint="eastAsia" w:ascii="宋体" w:hAnsi="宋体" w:eastAsia="宋体" w:cs="宋体"/>
          <w:sz w:val="24"/>
          <w:lang w:val="en-US" w:eastAsia="zh-CN" w:bidi="ar-SA"/>
        </w:rPr>
        <w:t>万，其中，医疗责任</w:t>
      </w:r>
      <w:r>
        <w:rPr>
          <w:rFonts w:hint="eastAsia" w:ascii="宋体" w:hAnsi="宋体" w:cs="宋体"/>
          <w:sz w:val="24"/>
          <w:lang w:val="en-US" w:eastAsia="zh-CN" w:bidi="ar-SA"/>
        </w:rPr>
        <w:t>险</w:t>
      </w:r>
      <w:r>
        <w:rPr>
          <w:rFonts w:hint="eastAsia" w:ascii="宋体" w:hAnsi="宋体" w:eastAsia="宋体" w:cs="宋体"/>
          <w:sz w:val="24"/>
          <w:lang w:val="en-US" w:eastAsia="zh-CN" w:bidi="ar-SA"/>
        </w:rPr>
        <w:t>累计</w:t>
      </w:r>
      <w:r>
        <w:rPr>
          <w:rFonts w:hint="eastAsia" w:ascii="宋体" w:hAnsi="宋体" w:cs="宋体"/>
          <w:sz w:val="24"/>
          <w:lang w:val="en-US" w:eastAsia="zh-CN" w:bidi="ar-SA"/>
        </w:rPr>
        <w:t>赔偿</w:t>
      </w:r>
      <w:r>
        <w:rPr>
          <w:rFonts w:hint="eastAsia" w:ascii="宋体" w:hAnsi="宋体" w:eastAsia="宋体" w:cs="宋体"/>
          <w:sz w:val="24"/>
          <w:lang w:val="en-US" w:eastAsia="zh-CN" w:bidi="ar-SA"/>
        </w:rPr>
        <w:t>限额：85万，医疗意外</w:t>
      </w:r>
      <w:r>
        <w:rPr>
          <w:rFonts w:hint="eastAsia" w:ascii="宋体" w:hAnsi="宋体" w:cs="宋体"/>
          <w:sz w:val="24"/>
          <w:lang w:val="en-US" w:eastAsia="zh-CN" w:bidi="ar-SA"/>
        </w:rPr>
        <w:t>险</w:t>
      </w:r>
      <w:r>
        <w:rPr>
          <w:rFonts w:hint="eastAsia" w:ascii="宋体" w:hAnsi="宋体" w:eastAsia="宋体" w:cs="宋体"/>
          <w:sz w:val="24"/>
          <w:lang w:val="en-US" w:eastAsia="zh-CN" w:bidi="ar-SA"/>
        </w:rPr>
        <w:t>与医疗责任险共用累计赔偿限额，法律费用累计限额：</w:t>
      </w:r>
      <w:r>
        <w:rPr>
          <w:rFonts w:hint="eastAsia" w:ascii="宋体" w:hAnsi="宋体" w:cs="宋体"/>
          <w:sz w:val="24"/>
          <w:lang w:val="en-US" w:eastAsia="zh-CN" w:bidi="ar-SA"/>
        </w:rPr>
        <w:t>35</w:t>
      </w:r>
      <w:r>
        <w:rPr>
          <w:rFonts w:hint="eastAsia" w:ascii="宋体" w:hAnsi="宋体" w:eastAsia="宋体" w:cs="宋体"/>
          <w:sz w:val="24"/>
          <w:lang w:val="en-US" w:eastAsia="zh-CN" w:bidi="ar-SA"/>
        </w:rPr>
        <w:t>万。</w:t>
      </w:r>
    </w:p>
    <w:p>
      <w:pPr>
        <w:numPr>
          <w:ilvl w:val="0"/>
          <w:numId w:val="7"/>
        </w:numPr>
        <w:spacing w:line="360" w:lineRule="auto"/>
        <w:rPr>
          <w:rFonts w:hint="eastAsia" w:ascii="宋体" w:hAnsi="宋体" w:cs="宋体"/>
          <w:b/>
          <w:sz w:val="24"/>
        </w:rPr>
      </w:pPr>
      <w:r>
        <w:rPr>
          <w:rFonts w:hint="eastAsia" w:ascii="宋体" w:hAnsi="宋体" w:cs="宋体"/>
          <w:b/>
          <w:sz w:val="24"/>
        </w:rPr>
        <w:t>每人每次赔偿限额：</w:t>
      </w:r>
    </w:p>
    <w:p>
      <w:pPr>
        <w:pStyle w:val="2"/>
        <w:rPr>
          <w:rFonts w:hint="eastAsia" w:ascii="宋体" w:hAnsi="宋体" w:eastAsia="宋体" w:cs="宋体"/>
          <w:sz w:val="24"/>
          <w:lang w:val="en-US" w:eastAsia="zh-CN" w:bidi="ar-SA"/>
        </w:rPr>
      </w:pPr>
      <w:r>
        <w:rPr>
          <w:rFonts w:hint="eastAsia" w:ascii="宋体" w:hAnsi="宋体" w:eastAsia="宋体" w:cs="宋体"/>
          <w:sz w:val="24"/>
          <w:lang w:val="en-US" w:eastAsia="zh-CN" w:bidi="ar-SA"/>
        </w:rPr>
        <w:t>医疗责任每人每次赔偿限额：30万元，其中，精神损害每人赔偿限额按每人赔偿限额的30%确定，并在每人赔偿限额之内计算；法律费用每人每次赔偿限额：1万元。</w:t>
      </w:r>
    </w:p>
    <w:p>
      <w:pPr>
        <w:spacing w:line="360" w:lineRule="auto"/>
        <w:rPr>
          <w:rFonts w:ascii="宋体" w:hAnsi="宋体" w:cs="宋体"/>
          <w:b/>
          <w:sz w:val="24"/>
        </w:rPr>
      </w:pPr>
      <w:r>
        <w:rPr>
          <w:rFonts w:hint="eastAsia" w:ascii="宋体" w:hAnsi="宋体" w:cs="宋体"/>
          <w:b/>
          <w:sz w:val="24"/>
        </w:rPr>
        <w:t>（二）附加医疗意外险：</w:t>
      </w:r>
    </w:p>
    <w:p>
      <w:pPr>
        <w:spacing w:line="360" w:lineRule="auto"/>
      </w:pPr>
      <w:r>
        <w:rPr>
          <w:rFonts w:hint="eastAsia" w:ascii="宋体" w:hAnsi="宋体" w:cs="宋体"/>
          <w:sz w:val="24"/>
        </w:rPr>
        <w:t>每人赔偿限额6万元，</w:t>
      </w:r>
      <w:r>
        <w:rPr>
          <w:rFonts w:hint="eastAsia" w:ascii="宋体" w:hAnsi="宋体" w:cs="宋体"/>
          <w:sz w:val="24"/>
          <w:lang w:val="en-US" w:eastAsia="zh-CN"/>
        </w:rPr>
        <w:t>与医疗责任险共用</w:t>
      </w:r>
      <w:r>
        <w:rPr>
          <w:rFonts w:hint="eastAsia" w:ascii="宋体" w:hAnsi="宋体" w:cs="宋体"/>
          <w:sz w:val="24"/>
        </w:rPr>
        <w:t>年度累计赔偿限额</w:t>
      </w:r>
      <w:r>
        <w:rPr>
          <w:rFonts w:hint="eastAsia" w:ascii="宋体" w:hAnsi="宋体" w:cs="宋体"/>
          <w:sz w:val="24"/>
          <w:lang w:eastAsia="zh-CN"/>
        </w:rPr>
        <w:t>。</w:t>
      </w:r>
    </w:p>
    <w:p>
      <w:pPr>
        <w:numPr>
          <w:ilvl w:val="0"/>
          <w:numId w:val="1"/>
        </w:numPr>
        <w:spacing w:line="360" w:lineRule="auto"/>
        <w:outlineLvl w:val="1"/>
        <w:rPr>
          <w:rFonts w:ascii="宋体" w:hAnsi="宋体" w:cs="宋体"/>
          <w:b/>
          <w:sz w:val="24"/>
        </w:rPr>
      </w:pPr>
      <w:bookmarkStart w:id="14" w:name="_Toc454381572"/>
      <w:bookmarkStart w:id="15" w:name="_Toc454391793"/>
      <w:bookmarkStart w:id="16" w:name="_Toc26120"/>
      <w:r>
        <w:rPr>
          <w:rFonts w:hint="eastAsia" w:ascii="宋体" w:hAnsi="宋体" w:cs="宋体"/>
          <w:b/>
          <w:sz w:val="24"/>
        </w:rPr>
        <w:t>免赔额</w:t>
      </w:r>
      <w:bookmarkEnd w:id="14"/>
      <w:bookmarkEnd w:id="15"/>
      <w:bookmarkEnd w:id="16"/>
    </w:p>
    <w:p>
      <w:pPr>
        <w:spacing w:line="360" w:lineRule="auto"/>
        <w:rPr>
          <w:rFonts w:ascii="宋体" w:hAnsi="宋体" w:cs="宋体"/>
          <w:sz w:val="24"/>
        </w:rPr>
      </w:pPr>
      <w:r>
        <w:rPr>
          <w:rFonts w:hint="eastAsia" w:ascii="宋体" w:hAnsi="宋体" w:cs="宋体"/>
          <w:sz w:val="24"/>
        </w:rPr>
        <w:t>对医疗机构有权自行协商的案件采用如下承担比例：</w:t>
      </w:r>
    </w:p>
    <w:tbl>
      <w:tblPr>
        <w:tblStyle w:val="5"/>
        <w:tblW w:w="6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356"/>
        <w:gridCol w:w="957"/>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医疗机构类别</w:t>
            </w:r>
          </w:p>
        </w:tc>
        <w:tc>
          <w:tcPr>
            <w:tcW w:w="1356"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索赔限额</w:t>
            </w:r>
          </w:p>
        </w:tc>
        <w:tc>
          <w:tcPr>
            <w:tcW w:w="957"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免赔额</w:t>
            </w:r>
          </w:p>
        </w:tc>
        <w:tc>
          <w:tcPr>
            <w:tcW w:w="1940"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医院自负比例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各级医疗机构</w:t>
            </w:r>
          </w:p>
        </w:tc>
        <w:tc>
          <w:tcPr>
            <w:tcW w:w="1356"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w:t>
            </w:r>
            <w:r>
              <w:rPr>
                <w:rFonts w:hint="eastAsia" w:ascii="宋体" w:hAnsi="宋体" w:cs="宋体"/>
                <w:b/>
                <w:kern w:val="2"/>
                <w:sz w:val="24"/>
                <w:szCs w:val="20"/>
              </w:rPr>
              <w:t>20000元</w:t>
            </w:r>
          </w:p>
        </w:tc>
        <w:tc>
          <w:tcPr>
            <w:tcW w:w="957"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无</w:t>
            </w:r>
          </w:p>
        </w:tc>
        <w:tc>
          <w:tcPr>
            <w:tcW w:w="1940" w:type="dxa"/>
            <w:vAlign w:val="top"/>
          </w:tcPr>
          <w:p>
            <w:pPr>
              <w:spacing w:line="360" w:lineRule="auto"/>
              <w:jc w:val="center"/>
              <w:rPr>
                <w:rFonts w:ascii="宋体" w:hAnsi="宋体" w:cs="宋体"/>
                <w:b/>
                <w:kern w:val="2"/>
                <w:sz w:val="24"/>
                <w:szCs w:val="20"/>
              </w:rPr>
            </w:pPr>
            <w:r>
              <w:rPr>
                <w:rFonts w:hint="eastAsia" w:ascii="宋体" w:hAnsi="宋体" w:cs="宋体"/>
                <w:b/>
                <w:kern w:val="2"/>
                <w:sz w:val="24"/>
                <w:szCs w:val="20"/>
              </w:rPr>
              <w:t>49%</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对于其他案件，采用如下免赔设定：</w:t>
      </w:r>
    </w:p>
    <w:tbl>
      <w:tblPr>
        <w:tblStyle w:val="5"/>
        <w:tblW w:w="6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4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740"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医疗机构类别</w:t>
            </w:r>
          </w:p>
        </w:tc>
        <w:tc>
          <w:tcPr>
            <w:tcW w:w="1428"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索赔限额</w:t>
            </w:r>
          </w:p>
        </w:tc>
        <w:tc>
          <w:tcPr>
            <w:tcW w:w="2835"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740"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各级医疗机构</w:t>
            </w:r>
          </w:p>
        </w:tc>
        <w:tc>
          <w:tcPr>
            <w:tcW w:w="1428"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＞20000元</w:t>
            </w:r>
          </w:p>
        </w:tc>
        <w:tc>
          <w:tcPr>
            <w:tcW w:w="2835" w:type="dxa"/>
            <w:vAlign w:val="top"/>
          </w:tcPr>
          <w:p>
            <w:pPr>
              <w:spacing w:line="360" w:lineRule="auto"/>
              <w:jc w:val="center"/>
              <w:rPr>
                <w:rFonts w:ascii="宋体" w:hAnsi="宋体" w:cs="宋体"/>
                <w:kern w:val="2"/>
                <w:sz w:val="24"/>
                <w:szCs w:val="20"/>
              </w:rPr>
            </w:pPr>
            <w:r>
              <w:rPr>
                <w:rFonts w:hint="eastAsia" w:ascii="宋体" w:hAnsi="宋体" w:cs="宋体"/>
                <w:kern w:val="2"/>
                <w:sz w:val="24"/>
                <w:szCs w:val="20"/>
              </w:rPr>
              <w:t>7650元或10%，以高者计</w:t>
            </w:r>
          </w:p>
        </w:tc>
      </w:tr>
    </w:tbl>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、特别约定：</w:t>
      </w:r>
    </w:p>
    <w:p>
      <w:pPr>
        <w:spacing w:line="360" w:lineRule="auto"/>
        <w:rPr>
          <w:rFonts w:ascii="宋体" w:hAnsi="宋体" w:cs="宋体"/>
          <w:sz w:val="24"/>
        </w:rPr>
      </w:pPr>
      <w:r>
        <w:rPr>
          <w:rFonts w:hint="eastAsia" w:ascii="宋体" w:hAnsi="宋体" w:cs="宋体"/>
          <w:kern w:val="0"/>
          <w:sz w:val="24"/>
        </w:rPr>
        <w:t>兹经双方协商约定，本保险单项下自保险生效之日起，增加下列特别约定：</w:t>
      </w:r>
    </w:p>
    <w:p>
      <w:pPr>
        <w:pStyle w:val="7"/>
        <w:numPr>
          <w:ilvl w:val="0"/>
          <w:numId w:val="8"/>
        </w:numPr>
        <w:spacing w:line="360" w:lineRule="auto"/>
        <w:ind w:left="425" w:leftChars="0" w:hanging="425" w:firstLineChars="0"/>
        <w:rPr>
          <w:rFonts w:ascii="宋体" w:hAnsi="宋体" w:cs="宋体"/>
          <w:kern w:val="0"/>
          <w:sz w:val="24"/>
        </w:rPr>
      </w:pPr>
      <w:r>
        <w:rPr>
          <w:rFonts w:hint="eastAsia" w:ascii="宋体" w:hAnsi="宋体" w:cs="宋体"/>
          <w:kern w:val="0"/>
          <w:sz w:val="24"/>
        </w:rPr>
        <w:t>被保险人一旦获悉可能引起本保险责任项下的索赔时，应立即以电话或书面形式通知保险人。</w:t>
      </w:r>
    </w:p>
    <w:p>
      <w:pPr>
        <w:numPr>
          <w:ilvl w:val="0"/>
          <w:numId w:val="8"/>
        </w:numPr>
        <w:spacing w:line="360" w:lineRule="auto"/>
        <w:ind w:left="425" w:leftChars="0" w:hanging="425" w:firstLineChars="0"/>
        <w:rPr>
          <w:rFonts w:ascii="宋体" w:hAnsi="宋体" w:cs="宋体"/>
          <w:kern w:val="0"/>
          <w:sz w:val="24"/>
        </w:rPr>
      </w:pPr>
      <w:r>
        <w:rPr>
          <w:rFonts w:hint="eastAsia" w:ascii="宋体" w:hAnsi="宋体" w:cs="宋体"/>
          <w:kern w:val="0"/>
          <w:sz w:val="24"/>
        </w:rPr>
        <w:t>保险人对医疗机构索赔案件理赔的法律依据适用《民法总则》、《民法通则》、《侵权责任法》、《最高人民法院关于人身侵权损害赔偿的司法解释》或《医疗事故处理条例》，具体以判决、裁决、裁定或调解所适用的法律为准。对于判决、裁决、裁定或调解的金额，保险人按照保险条款的约定，扣除本保险单明细表中的约定自负比例或免赔额后，在本保险单约定的责任限额内赔偿。</w:t>
      </w:r>
    </w:p>
    <w:p>
      <w:pPr>
        <w:numPr>
          <w:ilvl w:val="0"/>
          <w:numId w:val="8"/>
        </w:numPr>
        <w:spacing w:line="360" w:lineRule="auto"/>
        <w:ind w:left="425" w:leftChars="0" w:hanging="425" w:firstLineChars="0"/>
        <w:rPr>
          <w:rFonts w:ascii="宋体" w:hAnsi="宋体" w:cs="宋体"/>
          <w:kern w:val="0"/>
          <w:sz w:val="24"/>
        </w:rPr>
      </w:pPr>
      <w:r>
        <w:rPr>
          <w:rFonts w:hint="eastAsia" w:ascii="宋体" w:hAnsi="宋体" w:cs="宋体"/>
          <w:kern w:val="0"/>
          <w:sz w:val="24"/>
        </w:rPr>
        <w:t>兹经双方同意，本保单保单基础为事故发生制索赔时效三年具体指事故发生在保险期间内，由患者向医院提出索赔的时间需在索赔时效截止日内，若保险事故协商、调解或判决过程中的等待时间超过本保单约定的索赔时效截止日，保险公司均认可该案件的存在并根据保单约定的责任和限额进行赔偿.</w:t>
      </w:r>
    </w:p>
    <w:p>
      <w:pPr>
        <w:pStyle w:val="7"/>
        <w:numPr>
          <w:ilvl w:val="0"/>
          <w:numId w:val="8"/>
        </w:numPr>
        <w:spacing w:line="276" w:lineRule="auto"/>
        <w:ind w:left="425" w:leftChars="0" w:hanging="425" w:firstLineChars="0"/>
        <w:rPr>
          <w:rFonts w:ascii="宋体" w:hAnsi="宋体" w:cs="宋体"/>
          <w:kern w:val="0"/>
          <w:sz w:val="24"/>
          <w:szCs w:val="20"/>
        </w:rPr>
      </w:pPr>
      <w:r>
        <w:rPr>
          <w:rFonts w:hint="eastAsia" w:ascii="宋体" w:hAnsi="宋体" w:cs="宋体"/>
          <w:kern w:val="0"/>
          <w:sz w:val="24"/>
          <w:szCs w:val="20"/>
        </w:rPr>
        <w:t>特别约定如与主条款内容相悖之处，以本特别约定为准；未尽之处，以本保险方案为准。</w:t>
      </w:r>
    </w:p>
    <w:p>
      <w:pPr>
        <w:numPr>
          <w:ilvl w:val="0"/>
          <w:numId w:val="8"/>
        </w:numPr>
        <w:spacing w:line="276" w:lineRule="auto"/>
        <w:ind w:left="425" w:leftChars="0" w:hanging="425" w:firstLineChars="0"/>
        <w:rPr>
          <w:rFonts w:ascii="宋体" w:hAnsi="宋体" w:cs="宋体"/>
          <w:kern w:val="0"/>
          <w:sz w:val="24"/>
        </w:rPr>
      </w:pPr>
      <w:r>
        <w:rPr>
          <w:rFonts w:hint="eastAsia" w:ascii="宋体" w:hAnsi="宋体" w:cs="宋体"/>
          <w:kern w:val="0"/>
          <w:sz w:val="24"/>
        </w:rPr>
        <w:t>司法管辖：中华人民共和国管辖（港澳台除外）</w:t>
      </w:r>
    </w:p>
    <w:p>
      <w:pPr>
        <w:numPr>
          <w:ilvl w:val="0"/>
          <w:numId w:val="8"/>
        </w:numPr>
        <w:spacing w:line="360" w:lineRule="auto"/>
        <w:ind w:left="425" w:leftChars="0" w:hanging="425" w:firstLineChars="0"/>
        <w:rPr>
          <w:rFonts w:ascii="宋体" w:hAnsi="宋体" w:cs="宋体"/>
          <w:kern w:val="0"/>
          <w:sz w:val="24"/>
        </w:rPr>
      </w:pPr>
      <w:r>
        <w:rPr>
          <w:rFonts w:hint="eastAsia" w:ascii="宋体" w:hAnsi="宋体" w:cs="宋体"/>
          <w:kern w:val="0"/>
          <w:sz w:val="24"/>
        </w:rPr>
        <w:t>争议处理办法：因履行本保险合同发生争议，由当事人协商解决，协商不成，依法向人民法院起诉。</w:t>
      </w:r>
    </w:p>
    <w:p>
      <w:pPr>
        <w:spacing w:line="360" w:lineRule="auto"/>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、索赔单证：</w:t>
      </w:r>
    </w:p>
    <w:p>
      <w:pPr>
        <w:numPr>
          <w:ilvl w:val="0"/>
          <w:numId w:val="9"/>
        </w:numPr>
        <w:spacing w:line="360" w:lineRule="auto"/>
        <w:rPr>
          <w:rFonts w:ascii="宋体" w:hAnsi="宋体" w:cs="宋体"/>
          <w:sz w:val="24"/>
        </w:rPr>
      </w:pPr>
      <w:r>
        <w:rPr>
          <w:rFonts w:hint="eastAsia" w:ascii="宋体" w:hAnsi="宋体" w:cs="宋体"/>
          <w:sz w:val="24"/>
        </w:rPr>
        <w:t>20000元以下自行调解的案件，需提供材料：</w:t>
      </w:r>
    </w:p>
    <w:p>
      <w:pPr>
        <w:numPr>
          <w:ilvl w:val="3"/>
          <w:numId w:val="10"/>
        </w:numPr>
        <w:ind w:left="567" w:hanging="17"/>
        <w:rPr>
          <w:rFonts w:ascii="宋体" w:hAnsi="宋体" w:cs="宋体"/>
          <w:bCs/>
          <w:sz w:val="24"/>
        </w:rPr>
      </w:pPr>
      <w:r>
        <w:rPr>
          <w:rFonts w:hint="eastAsia" w:ascii="宋体" w:hAnsi="宋体" w:cs="宋体"/>
          <w:bCs/>
          <w:sz w:val="24"/>
        </w:rPr>
        <w:t>有关责任人的执业证明（有关责任人指：存在过失、过错的医务人员，同时，该人员需与出入院记录、病历上的一致,特殊情况如无病历记录的由医院提供说明。）</w:t>
      </w:r>
    </w:p>
    <w:p>
      <w:pPr>
        <w:numPr>
          <w:ilvl w:val="3"/>
          <w:numId w:val="10"/>
        </w:numPr>
        <w:ind w:left="567" w:hanging="17"/>
        <w:rPr>
          <w:rFonts w:ascii="宋体" w:hAnsi="宋体" w:cs="宋体"/>
          <w:bCs/>
          <w:sz w:val="24"/>
        </w:rPr>
      </w:pPr>
      <w:r>
        <w:rPr>
          <w:rFonts w:hint="eastAsia" w:ascii="宋体" w:hAnsi="宋体" w:cs="宋体"/>
          <w:bCs/>
          <w:sz w:val="24"/>
        </w:rPr>
        <w:t>赔款支付凭证，如患者收条、医疗机构领款单</w:t>
      </w:r>
    </w:p>
    <w:p>
      <w:pPr>
        <w:numPr>
          <w:ilvl w:val="3"/>
          <w:numId w:val="10"/>
        </w:numPr>
        <w:ind w:left="567" w:hanging="17"/>
        <w:rPr>
          <w:rFonts w:ascii="宋体" w:hAnsi="宋体" w:cs="宋体"/>
          <w:bCs/>
          <w:sz w:val="24"/>
        </w:rPr>
      </w:pPr>
      <w:r>
        <w:rPr>
          <w:rFonts w:hint="eastAsia" w:ascii="宋体" w:hAnsi="宋体" w:cs="宋体"/>
          <w:bCs/>
          <w:sz w:val="24"/>
        </w:rPr>
        <w:t>医疗机构的执业许可证、事业单位法人证明</w:t>
      </w:r>
    </w:p>
    <w:p>
      <w:pPr>
        <w:numPr>
          <w:ilvl w:val="3"/>
          <w:numId w:val="10"/>
        </w:numPr>
        <w:ind w:left="567" w:hanging="17"/>
        <w:rPr>
          <w:rFonts w:ascii="宋体" w:hAnsi="宋体" w:cs="宋体"/>
          <w:bCs/>
          <w:sz w:val="24"/>
        </w:rPr>
      </w:pPr>
      <w:r>
        <w:rPr>
          <w:rFonts w:hint="eastAsia" w:ascii="宋体" w:hAnsi="宋体" w:cs="宋体"/>
          <w:bCs/>
          <w:sz w:val="24"/>
        </w:rPr>
        <w:t>赔偿协议书</w:t>
      </w:r>
    </w:p>
    <w:p>
      <w:pPr>
        <w:numPr>
          <w:ilvl w:val="3"/>
          <w:numId w:val="10"/>
        </w:numPr>
        <w:ind w:left="567" w:hanging="17"/>
        <w:rPr>
          <w:rFonts w:ascii="宋体" w:hAnsi="宋体" w:cs="宋体"/>
          <w:bCs/>
          <w:sz w:val="24"/>
        </w:rPr>
      </w:pPr>
      <w:r>
        <w:rPr>
          <w:rFonts w:hint="eastAsia" w:ascii="宋体" w:hAnsi="宋体" w:cs="宋体"/>
          <w:bCs/>
          <w:sz w:val="24"/>
        </w:rPr>
        <w:t>相关费用凭证</w:t>
      </w:r>
    </w:p>
    <w:p>
      <w:pPr>
        <w:numPr>
          <w:ilvl w:val="3"/>
          <w:numId w:val="10"/>
        </w:numPr>
        <w:ind w:left="567" w:hanging="17"/>
        <w:rPr>
          <w:rFonts w:ascii="宋体" w:hAnsi="宋体" w:cs="宋体"/>
          <w:bCs/>
          <w:sz w:val="24"/>
        </w:rPr>
      </w:pPr>
      <w:r>
        <w:rPr>
          <w:rFonts w:hint="eastAsia" w:ascii="宋体" w:hAnsi="宋体" w:cs="宋体"/>
          <w:bCs/>
          <w:sz w:val="24"/>
        </w:rPr>
        <w:t>住院患者提供出入院记录，手术患者提供手术记录，门诊患者提供门诊病历,特殊情况无法提供病历的的由医院提供说明。</w:t>
      </w:r>
    </w:p>
    <w:p>
      <w:pPr>
        <w:numPr>
          <w:ilvl w:val="3"/>
          <w:numId w:val="10"/>
        </w:numPr>
        <w:ind w:left="567" w:hanging="17"/>
        <w:rPr>
          <w:rFonts w:ascii="宋体" w:hAnsi="宋体" w:cs="宋体"/>
          <w:bCs/>
          <w:sz w:val="24"/>
        </w:rPr>
      </w:pPr>
      <w:r>
        <w:rPr>
          <w:rFonts w:hint="eastAsia" w:ascii="宋体" w:hAnsi="宋体" w:cs="宋体"/>
          <w:bCs/>
          <w:sz w:val="24"/>
        </w:rPr>
        <w:t>病情简介或医院内部讨论结果（医院在诊疗过程中是否存在过错，对医疗损害结果是否需要承担责任）</w:t>
      </w:r>
    </w:p>
    <w:p>
      <w:pPr>
        <w:numPr>
          <w:ilvl w:val="3"/>
          <w:numId w:val="10"/>
        </w:numPr>
        <w:ind w:left="567" w:hanging="17"/>
        <w:rPr>
          <w:rFonts w:ascii="宋体" w:hAnsi="宋体" w:cs="宋体"/>
          <w:bCs/>
          <w:sz w:val="24"/>
        </w:rPr>
      </w:pPr>
      <w:r>
        <w:rPr>
          <w:rFonts w:hint="eastAsia" w:ascii="宋体" w:hAnsi="宋体" w:cs="宋体"/>
          <w:bCs/>
          <w:sz w:val="24"/>
        </w:rPr>
        <w:t>索赔申请书</w:t>
      </w:r>
    </w:p>
    <w:p>
      <w:pPr>
        <w:numPr>
          <w:ilvl w:val="3"/>
          <w:numId w:val="10"/>
        </w:numPr>
        <w:ind w:left="567" w:hanging="17"/>
        <w:rPr>
          <w:rFonts w:ascii="宋体" w:hAnsi="宋体" w:cs="宋体"/>
          <w:bCs/>
          <w:sz w:val="24"/>
        </w:rPr>
      </w:pPr>
      <w:r>
        <w:rPr>
          <w:rFonts w:hint="eastAsia" w:ascii="宋体" w:hAnsi="宋体" w:cs="宋体"/>
          <w:bCs/>
          <w:sz w:val="24"/>
        </w:rPr>
        <w:t>患者身份证明材料复印件</w:t>
      </w:r>
    </w:p>
    <w:p>
      <w:pPr>
        <w:numPr>
          <w:ilvl w:val="0"/>
          <w:numId w:val="9"/>
        </w:numPr>
        <w:spacing w:line="360" w:lineRule="auto"/>
        <w:rPr>
          <w:rFonts w:ascii="宋体" w:hAnsi="宋体" w:cs="宋体"/>
          <w:sz w:val="24"/>
        </w:rPr>
      </w:pPr>
      <w:r>
        <w:rPr>
          <w:rFonts w:hint="eastAsia" w:ascii="宋体" w:hAnsi="宋体" w:cs="宋体"/>
          <w:sz w:val="24"/>
        </w:rPr>
        <w:t>通过医调委解决案件，需提供材料：</w:t>
      </w:r>
    </w:p>
    <w:p>
      <w:pPr>
        <w:numPr>
          <w:ilvl w:val="0"/>
          <w:numId w:val="11"/>
        </w:numPr>
        <w:ind w:left="567" w:hanging="17"/>
        <w:rPr>
          <w:rFonts w:ascii="宋体" w:hAnsi="宋体" w:cs="宋体"/>
          <w:bCs/>
          <w:sz w:val="24"/>
        </w:rPr>
      </w:pPr>
      <w:r>
        <w:rPr>
          <w:rFonts w:hint="eastAsia" w:ascii="宋体" w:hAnsi="宋体" w:cs="宋体"/>
          <w:bCs/>
          <w:sz w:val="24"/>
        </w:rPr>
        <w:t>有关责任人的执业证明（有关责任人指：存在过失、过错的医务人员，同时，该人员需与出入院记录、病历上的一致,特殊情况如无病历记录的由医院提供说明。）</w:t>
      </w:r>
    </w:p>
    <w:p>
      <w:pPr>
        <w:numPr>
          <w:ilvl w:val="0"/>
          <w:numId w:val="11"/>
        </w:numPr>
        <w:ind w:left="567" w:hanging="17"/>
        <w:rPr>
          <w:rFonts w:ascii="宋体" w:hAnsi="宋体" w:cs="宋体"/>
          <w:bCs/>
          <w:sz w:val="24"/>
        </w:rPr>
      </w:pPr>
      <w:r>
        <w:rPr>
          <w:rFonts w:hint="eastAsia" w:ascii="宋体" w:hAnsi="宋体" w:cs="宋体"/>
          <w:bCs/>
          <w:sz w:val="24"/>
        </w:rPr>
        <w:t>赔款支付凭证，如患者收条、医疗机构领款单</w:t>
      </w:r>
    </w:p>
    <w:p>
      <w:pPr>
        <w:numPr>
          <w:ilvl w:val="0"/>
          <w:numId w:val="11"/>
        </w:numPr>
        <w:ind w:left="567" w:hanging="17"/>
        <w:rPr>
          <w:rFonts w:ascii="宋体" w:hAnsi="宋体" w:cs="宋体"/>
          <w:bCs/>
          <w:sz w:val="24"/>
        </w:rPr>
      </w:pPr>
      <w:r>
        <w:rPr>
          <w:rFonts w:hint="eastAsia" w:ascii="宋体" w:hAnsi="宋体" w:cs="宋体"/>
          <w:bCs/>
          <w:sz w:val="24"/>
        </w:rPr>
        <w:t>医疗机构的执业许可证、事业单位法人证明</w:t>
      </w:r>
    </w:p>
    <w:p>
      <w:pPr>
        <w:numPr>
          <w:ilvl w:val="0"/>
          <w:numId w:val="11"/>
        </w:numPr>
        <w:ind w:left="567" w:hanging="17"/>
        <w:rPr>
          <w:rFonts w:ascii="宋体" w:hAnsi="宋体" w:cs="宋体"/>
          <w:bCs/>
          <w:sz w:val="24"/>
        </w:rPr>
      </w:pPr>
      <w:r>
        <w:rPr>
          <w:rFonts w:hint="eastAsia" w:ascii="宋体" w:hAnsi="宋体" w:cs="宋体"/>
          <w:bCs/>
          <w:sz w:val="24"/>
        </w:rPr>
        <w:t>协议书</w:t>
      </w:r>
    </w:p>
    <w:p>
      <w:pPr>
        <w:numPr>
          <w:ilvl w:val="0"/>
          <w:numId w:val="11"/>
        </w:numPr>
        <w:ind w:left="567" w:hanging="17"/>
        <w:rPr>
          <w:rFonts w:ascii="宋体" w:hAnsi="宋体" w:cs="宋体"/>
          <w:bCs/>
          <w:sz w:val="24"/>
        </w:rPr>
      </w:pPr>
      <w:r>
        <w:rPr>
          <w:rFonts w:hint="eastAsia" w:ascii="宋体" w:hAnsi="宋体" w:cs="宋体"/>
          <w:bCs/>
          <w:sz w:val="24"/>
        </w:rPr>
        <w:t>相关费用凭证</w:t>
      </w:r>
    </w:p>
    <w:p>
      <w:pPr>
        <w:numPr>
          <w:ilvl w:val="0"/>
          <w:numId w:val="11"/>
        </w:numPr>
        <w:ind w:left="567" w:hanging="17"/>
        <w:rPr>
          <w:rFonts w:ascii="宋体" w:hAnsi="宋体" w:cs="宋体"/>
          <w:bCs/>
          <w:sz w:val="24"/>
        </w:rPr>
      </w:pPr>
      <w:r>
        <w:rPr>
          <w:rFonts w:hint="eastAsia" w:ascii="宋体" w:hAnsi="宋体" w:cs="宋体"/>
          <w:bCs/>
          <w:sz w:val="24"/>
        </w:rPr>
        <w:t>住院患者提供出入院记录，手术患者提供手术记录，门诊患者提供门诊病历,特殊情况无法提供病历的的由医院提供说明。</w:t>
      </w:r>
    </w:p>
    <w:p>
      <w:pPr>
        <w:numPr>
          <w:ilvl w:val="0"/>
          <w:numId w:val="11"/>
        </w:numPr>
        <w:ind w:left="567" w:hanging="17"/>
        <w:rPr>
          <w:rFonts w:ascii="宋体" w:hAnsi="宋体" w:cs="宋体"/>
          <w:bCs/>
          <w:sz w:val="24"/>
        </w:rPr>
      </w:pPr>
      <w:r>
        <w:rPr>
          <w:rFonts w:hint="eastAsia" w:ascii="宋体" w:hAnsi="宋体" w:cs="宋体"/>
          <w:bCs/>
          <w:sz w:val="24"/>
        </w:rPr>
        <w:t>索赔申请书</w:t>
      </w:r>
      <w:r>
        <w:rPr>
          <w:rFonts w:ascii="宋体" w:hAnsi="宋体" w:cs="宋体"/>
          <w:bCs/>
          <w:sz w:val="24"/>
        </w:rPr>
        <w:t xml:space="preserve"> </w:t>
      </w:r>
    </w:p>
    <w:p>
      <w:pPr>
        <w:numPr>
          <w:ilvl w:val="0"/>
          <w:numId w:val="11"/>
        </w:numPr>
        <w:ind w:left="567" w:hanging="17"/>
        <w:rPr>
          <w:rFonts w:ascii="宋体" w:hAnsi="宋体" w:cs="宋体"/>
          <w:bCs/>
          <w:sz w:val="24"/>
        </w:rPr>
      </w:pPr>
      <w:r>
        <w:rPr>
          <w:rFonts w:hint="eastAsia" w:ascii="宋体" w:hAnsi="宋体" w:cs="宋体"/>
          <w:bCs/>
          <w:sz w:val="24"/>
        </w:rPr>
        <w:t>患者身份证明材料复印件</w:t>
      </w:r>
    </w:p>
    <w:p>
      <w:pPr>
        <w:numPr>
          <w:ilvl w:val="0"/>
          <w:numId w:val="9"/>
        </w:numPr>
        <w:spacing w:line="360" w:lineRule="auto"/>
        <w:rPr>
          <w:rFonts w:ascii="宋体" w:hAnsi="宋体" w:cs="宋体"/>
          <w:sz w:val="24"/>
        </w:rPr>
      </w:pPr>
      <w:r>
        <w:rPr>
          <w:rFonts w:hint="eastAsia" w:ascii="宋体" w:hAnsi="宋体" w:cs="宋体"/>
          <w:sz w:val="24"/>
        </w:rPr>
        <w:t>通过诉讼解决的案件，需提供材料：</w:t>
      </w:r>
    </w:p>
    <w:p>
      <w:pPr>
        <w:numPr>
          <w:ilvl w:val="0"/>
          <w:numId w:val="12"/>
        </w:numPr>
        <w:ind w:left="567" w:hanging="17"/>
        <w:rPr>
          <w:rFonts w:ascii="宋体" w:hAnsi="宋体" w:cs="宋体"/>
          <w:bCs/>
          <w:sz w:val="24"/>
        </w:rPr>
      </w:pPr>
      <w:r>
        <w:rPr>
          <w:rFonts w:hint="eastAsia" w:ascii="宋体" w:hAnsi="宋体" w:cs="宋体"/>
          <w:bCs/>
          <w:sz w:val="24"/>
        </w:rPr>
        <w:t>起诉状、上诉状</w:t>
      </w:r>
    </w:p>
    <w:p>
      <w:pPr>
        <w:numPr>
          <w:ilvl w:val="0"/>
          <w:numId w:val="12"/>
        </w:numPr>
        <w:ind w:left="567" w:hanging="17"/>
        <w:rPr>
          <w:rFonts w:ascii="宋体" w:hAnsi="宋体" w:cs="宋体"/>
          <w:bCs/>
          <w:sz w:val="24"/>
        </w:rPr>
      </w:pPr>
      <w:r>
        <w:rPr>
          <w:rFonts w:hint="eastAsia" w:ascii="宋体" w:hAnsi="宋体" w:cs="宋体"/>
          <w:bCs/>
          <w:sz w:val="24"/>
        </w:rPr>
        <w:t>鉴定意见</w:t>
      </w:r>
    </w:p>
    <w:p>
      <w:pPr>
        <w:numPr>
          <w:ilvl w:val="0"/>
          <w:numId w:val="12"/>
        </w:numPr>
        <w:ind w:left="567" w:hanging="17"/>
        <w:rPr>
          <w:rFonts w:ascii="宋体" w:hAnsi="宋体" w:cs="宋体"/>
          <w:bCs/>
          <w:sz w:val="24"/>
        </w:rPr>
      </w:pPr>
      <w:r>
        <w:rPr>
          <w:rFonts w:hint="eastAsia" w:ascii="宋体" w:hAnsi="宋体" w:cs="宋体"/>
          <w:bCs/>
          <w:sz w:val="24"/>
        </w:rPr>
        <w:t>判决书（一审、二审）</w:t>
      </w:r>
    </w:p>
    <w:p>
      <w:pPr>
        <w:numPr>
          <w:ilvl w:val="0"/>
          <w:numId w:val="12"/>
        </w:numPr>
        <w:ind w:left="567" w:hanging="17"/>
        <w:rPr>
          <w:rFonts w:ascii="宋体" w:hAnsi="宋体" w:cs="宋体"/>
          <w:bCs/>
          <w:sz w:val="24"/>
        </w:rPr>
      </w:pPr>
      <w:r>
        <w:rPr>
          <w:rFonts w:hint="eastAsia" w:ascii="宋体" w:hAnsi="宋体" w:cs="宋体"/>
          <w:bCs/>
          <w:sz w:val="24"/>
        </w:rPr>
        <w:t>有关责任人的执业证明（有关责任人指：存在过失、过错的医务人员，同时，该人员需与出入院记录、病历上的一致,特殊情况如无病历记录的由医院提供说明。）</w:t>
      </w:r>
    </w:p>
    <w:p>
      <w:pPr>
        <w:numPr>
          <w:ilvl w:val="0"/>
          <w:numId w:val="12"/>
        </w:numPr>
        <w:ind w:left="567" w:hanging="17"/>
        <w:rPr>
          <w:rFonts w:ascii="宋体" w:hAnsi="宋体" w:cs="宋体"/>
          <w:bCs/>
          <w:sz w:val="24"/>
        </w:rPr>
      </w:pPr>
      <w:r>
        <w:rPr>
          <w:rFonts w:hint="eastAsia" w:ascii="宋体" w:hAnsi="宋体" w:cs="宋体"/>
          <w:bCs/>
          <w:sz w:val="24"/>
        </w:rPr>
        <w:t>赔款支付凭证，如法院案款收据</w:t>
      </w:r>
    </w:p>
    <w:p>
      <w:pPr>
        <w:numPr>
          <w:ilvl w:val="0"/>
          <w:numId w:val="12"/>
        </w:numPr>
        <w:ind w:left="567" w:hanging="17"/>
        <w:rPr>
          <w:rFonts w:ascii="宋体" w:hAnsi="宋体" w:cs="宋体"/>
          <w:bCs/>
          <w:sz w:val="24"/>
        </w:rPr>
      </w:pPr>
      <w:r>
        <w:rPr>
          <w:rFonts w:hint="eastAsia" w:ascii="宋体" w:hAnsi="宋体" w:cs="宋体"/>
          <w:bCs/>
          <w:sz w:val="24"/>
        </w:rPr>
        <w:t>医疗机构的执业许可证、事业单位法人证明</w:t>
      </w:r>
    </w:p>
    <w:p>
      <w:pPr>
        <w:numPr>
          <w:ilvl w:val="0"/>
          <w:numId w:val="12"/>
        </w:numPr>
        <w:ind w:left="567" w:hanging="17"/>
        <w:rPr>
          <w:rFonts w:ascii="宋体" w:hAnsi="宋体" w:cs="宋体"/>
          <w:bCs/>
          <w:sz w:val="24"/>
        </w:rPr>
      </w:pPr>
      <w:r>
        <w:rPr>
          <w:rFonts w:hint="eastAsia" w:ascii="宋体" w:hAnsi="宋体" w:cs="宋体"/>
          <w:bCs/>
          <w:sz w:val="24"/>
        </w:rPr>
        <w:t>住院患者提供出入院记录，手术患者提供手术记录，门诊患者提供门诊病历,特殊情况无法提供病历的的由医院提供说明。</w:t>
      </w:r>
    </w:p>
    <w:p>
      <w:pPr>
        <w:numPr>
          <w:ilvl w:val="0"/>
          <w:numId w:val="12"/>
        </w:numPr>
        <w:ind w:left="567" w:hanging="17"/>
        <w:rPr>
          <w:rFonts w:ascii="宋体" w:hAnsi="宋体" w:cs="宋体"/>
          <w:bCs/>
          <w:sz w:val="24"/>
        </w:rPr>
      </w:pPr>
      <w:r>
        <w:rPr>
          <w:rFonts w:hint="eastAsia" w:ascii="宋体" w:hAnsi="宋体" w:cs="宋体"/>
          <w:bCs/>
          <w:sz w:val="24"/>
        </w:rPr>
        <w:t>相关费用凭证，如鉴定费、律师费等费用发票</w:t>
      </w:r>
    </w:p>
    <w:p>
      <w:pPr>
        <w:numPr>
          <w:ilvl w:val="0"/>
          <w:numId w:val="12"/>
        </w:numPr>
        <w:ind w:left="567" w:hanging="17"/>
        <w:rPr>
          <w:rFonts w:ascii="宋体" w:hAnsi="宋体" w:cs="宋体"/>
          <w:bCs/>
          <w:sz w:val="24"/>
        </w:rPr>
      </w:pPr>
      <w:r>
        <w:rPr>
          <w:rFonts w:hint="eastAsia" w:ascii="宋体" w:hAnsi="宋体" w:cs="宋体"/>
          <w:bCs/>
          <w:sz w:val="24"/>
        </w:rPr>
        <w:t>索赔申请书</w:t>
      </w:r>
    </w:p>
    <w:p>
      <w:pPr>
        <w:numPr>
          <w:ilvl w:val="0"/>
          <w:numId w:val="12"/>
        </w:numPr>
        <w:ind w:left="567" w:hanging="17"/>
        <w:rPr>
          <w:rFonts w:ascii="宋体" w:hAnsi="宋体" w:cs="宋体"/>
          <w:sz w:val="24"/>
        </w:rPr>
      </w:pPr>
      <w:r>
        <w:rPr>
          <w:rFonts w:hint="eastAsia" w:ascii="宋体" w:hAnsi="宋体" w:cs="宋体"/>
          <w:bCs/>
          <w:sz w:val="24"/>
        </w:rPr>
        <w:t>患者身份证明材料复印件</w:t>
      </w:r>
    </w:p>
    <w:p>
      <w:pPr>
        <w:spacing w:line="360" w:lineRule="auto"/>
        <w:jc w:val="center"/>
        <w:rPr>
          <w:rFonts w:hint="eastAsia" w:ascii="宋体" w:hAnsi="宋体"/>
          <w:b/>
          <w:bCs/>
          <w:sz w:val="28"/>
          <w:szCs w:val="28"/>
        </w:rPr>
      </w:pPr>
      <w:bookmarkStart w:id="17" w:name="_GoBack"/>
      <w:bookmarkEnd w:id="17"/>
      <w:r>
        <w:rPr>
          <w:rFonts w:hint="eastAsia" w:ascii="宋体" w:hAnsi="宋体"/>
          <w:b w:val="0"/>
          <w:bCs w:val="0"/>
          <w:sz w:val="28"/>
          <w:szCs w:val="28"/>
        </w:rPr>
        <w:br w:type="page"/>
      </w:r>
    </w:p>
    <w:p>
      <w:pPr>
        <w:pStyle w:val="2"/>
        <w:jc w:val="right"/>
        <w:rPr>
          <w:rFonts w:hint="eastAsia" w:ascii="宋体" w:hAnsi="宋体" w:eastAsia="宋体" w:cs="Times New Roman"/>
          <w:sz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2CD24"/>
    <w:multiLevelType w:val="singleLevel"/>
    <w:tmpl w:val="EAB2CD24"/>
    <w:lvl w:ilvl="0" w:tentative="0">
      <w:start w:val="1"/>
      <w:numFmt w:val="decimal"/>
      <w:lvlText w:val="%1."/>
      <w:lvlJc w:val="left"/>
      <w:pPr>
        <w:ind w:left="425" w:hanging="425"/>
      </w:pPr>
      <w:rPr>
        <w:rFonts w:hint="default"/>
      </w:rPr>
    </w:lvl>
  </w:abstractNum>
  <w:abstractNum w:abstractNumId="1">
    <w:nsid w:val="13891A75"/>
    <w:multiLevelType w:val="multilevel"/>
    <w:tmpl w:val="13891A75"/>
    <w:lvl w:ilvl="0" w:tentative="0">
      <w:start w:val="1"/>
      <w:numFmt w:val="decimal"/>
      <w:lvlText w:val="（%1）"/>
      <w:lvlJc w:val="left"/>
      <w:pPr>
        <w:ind w:left="2104" w:hanging="420"/>
      </w:pPr>
    </w:lvl>
    <w:lvl w:ilvl="1" w:tentative="0">
      <w:start w:val="1"/>
      <w:numFmt w:val="lowerLetter"/>
      <w:lvlText w:val="%2)"/>
      <w:lvlJc w:val="left"/>
      <w:pPr>
        <w:ind w:left="2524" w:hanging="420"/>
      </w:pPr>
    </w:lvl>
    <w:lvl w:ilvl="2" w:tentative="0">
      <w:start w:val="1"/>
      <w:numFmt w:val="lowerRoman"/>
      <w:lvlText w:val="%3."/>
      <w:lvlJc w:val="right"/>
      <w:pPr>
        <w:ind w:left="2944" w:hanging="420"/>
      </w:pPr>
    </w:lvl>
    <w:lvl w:ilvl="3" w:tentative="0">
      <w:start w:val="1"/>
      <w:numFmt w:val="decimal"/>
      <w:lvlText w:val="%4."/>
      <w:lvlJc w:val="left"/>
      <w:pPr>
        <w:ind w:left="3364" w:hanging="420"/>
      </w:pPr>
    </w:lvl>
    <w:lvl w:ilvl="4" w:tentative="0">
      <w:start w:val="1"/>
      <w:numFmt w:val="lowerLetter"/>
      <w:lvlText w:val="%5)"/>
      <w:lvlJc w:val="left"/>
      <w:pPr>
        <w:ind w:left="3784" w:hanging="420"/>
      </w:pPr>
    </w:lvl>
    <w:lvl w:ilvl="5" w:tentative="0">
      <w:start w:val="1"/>
      <w:numFmt w:val="lowerRoman"/>
      <w:lvlText w:val="%6."/>
      <w:lvlJc w:val="right"/>
      <w:pPr>
        <w:ind w:left="4204" w:hanging="420"/>
      </w:pPr>
    </w:lvl>
    <w:lvl w:ilvl="6" w:tentative="0">
      <w:start w:val="1"/>
      <w:numFmt w:val="decimal"/>
      <w:lvlText w:val="%7."/>
      <w:lvlJc w:val="left"/>
      <w:pPr>
        <w:ind w:left="4624" w:hanging="420"/>
      </w:pPr>
    </w:lvl>
    <w:lvl w:ilvl="7" w:tentative="0">
      <w:start w:val="1"/>
      <w:numFmt w:val="lowerLetter"/>
      <w:lvlText w:val="%8)"/>
      <w:lvlJc w:val="left"/>
      <w:pPr>
        <w:ind w:left="5044" w:hanging="420"/>
      </w:pPr>
    </w:lvl>
    <w:lvl w:ilvl="8" w:tentative="0">
      <w:start w:val="1"/>
      <w:numFmt w:val="lowerRoman"/>
      <w:lvlText w:val="%9."/>
      <w:lvlJc w:val="right"/>
      <w:pPr>
        <w:ind w:left="5464" w:hanging="420"/>
      </w:pPr>
    </w:lvl>
  </w:abstractNum>
  <w:abstractNum w:abstractNumId="2">
    <w:nsid w:val="35FD699B"/>
    <w:multiLevelType w:val="multilevel"/>
    <w:tmpl w:val="35FD699B"/>
    <w:lvl w:ilvl="0" w:tentative="0">
      <w:start w:val="1"/>
      <w:numFmt w:val="decimal"/>
      <w:lvlText w:val="%1."/>
      <w:lvlJc w:val="left"/>
      <w:pPr>
        <w:ind w:left="840" w:hanging="420"/>
      </w:pPr>
      <w:rPr>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760BF62"/>
    <w:multiLevelType w:val="singleLevel"/>
    <w:tmpl w:val="5760BF62"/>
    <w:lvl w:ilvl="0" w:tentative="0">
      <w:start w:val="1"/>
      <w:numFmt w:val="chineseCounting"/>
      <w:suff w:val="nothing"/>
      <w:lvlText w:val="%1、"/>
      <w:lvlJc w:val="left"/>
      <w:rPr>
        <w:b/>
        <w:color w:val="000000"/>
      </w:rPr>
    </w:lvl>
  </w:abstractNum>
  <w:abstractNum w:abstractNumId="4">
    <w:nsid w:val="5760C00A"/>
    <w:multiLevelType w:val="singleLevel"/>
    <w:tmpl w:val="5760C00A"/>
    <w:lvl w:ilvl="0" w:tentative="0">
      <w:start w:val="1"/>
      <w:numFmt w:val="chineseCounting"/>
      <w:suff w:val="nothing"/>
      <w:lvlText w:val="（%1）"/>
      <w:lvlJc w:val="left"/>
    </w:lvl>
  </w:abstractNum>
  <w:abstractNum w:abstractNumId="5">
    <w:nsid w:val="5760C1C1"/>
    <w:multiLevelType w:val="singleLevel"/>
    <w:tmpl w:val="5760C1C1"/>
    <w:lvl w:ilvl="0" w:tentative="0">
      <w:start w:val="2"/>
      <w:numFmt w:val="chineseCounting"/>
      <w:suff w:val="nothing"/>
      <w:lvlText w:val="（%1）"/>
      <w:lvlJc w:val="left"/>
    </w:lvl>
  </w:abstractNum>
  <w:abstractNum w:abstractNumId="6">
    <w:nsid w:val="5760C2DF"/>
    <w:multiLevelType w:val="singleLevel"/>
    <w:tmpl w:val="5760C2DF"/>
    <w:lvl w:ilvl="0" w:tentative="0">
      <w:start w:val="1"/>
      <w:numFmt w:val="decimal"/>
      <w:suff w:val="nothing"/>
      <w:lvlText w:val="（%1）"/>
      <w:lvlJc w:val="left"/>
    </w:lvl>
  </w:abstractNum>
  <w:abstractNum w:abstractNumId="7">
    <w:nsid w:val="5760C78B"/>
    <w:multiLevelType w:val="singleLevel"/>
    <w:tmpl w:val="5760C78B"/>
    <w:lvl w:ilvl="0" w:tentative="0">
      <w:start w:val="1"/>
      <w:numFmt w:val="chineseCounting"/>
      <w:suff w:val="nothing"/>
      <w:lvlText w:val="（%1）"/>
      <w:lvlJc w:val="left"/>
    </w:lvl>
  </w:abstractNum>
  <w:abstractNum w:abstractNumId="8">
    <w:nsid w:val="5760C7EA"/>
    <w:multiLevelType w:val="singleLevel"/>
    <w:tmpl w:val="5760C7EA"/>
    <w:lvl w:ilvl="0" w:tentative="0">
      <w:start w:val="1"/>
      <w:numFmt w:val="decimal"/>
      <w:suff w:val="nothing"/>
      <w:lvlText w:val="（%1）"/>
      <w:lvlJc w:val="left"/>
      <w:rPr>
        <w:b/>
      </w:rPr>
    </w:lvl>
  </w:abstractNum>
  <w:abstractNum w:abstractNumId="9">
    <w:nsid w:val="57CD0939"/>
    <w:multiLevelType w:val="multilevel"/>
    <w:tmpl w:val="57CD0939"/>
    <w:lvl w:ilvl="0" w:tentative="0">
      <w:start w:val="1"/>
      <w:numFmt w:val="decimal"/>
      <w:lvlText w:val="（%1）"/>
      <w:lvlJc w:val="left"/>
      <w:pPr>
        <w:ind w:left="2104" w:hanging="420"/>
      </w:pPr>
    </w:lvl>
    <w:lvl w:ilvl="1" w:tentative="0">
      <w:start w:val="1"/>
      <w:numFmt w:val="lowerLetter"/>
      <w:lvlText w:val="%2)"/>
      <w:lvlJc w:val="left"/>
      <w:pPr>
        <w:ind w:left="2524" w:hanging="420"/>
      </w:pPr>
    </w:lvl>
    <w:lvl w:ilvl="2" w:tentative="0">
      <w:start w:val="1"/>
      <w:numFmt w:val="lowerRoman"/>
      <w:lvlText w:val="%3."/>
      <w:lvlJc w:val="right"/>
      <w:pPr>
        <w:ind w:left="2944" w:hanging="420"/>
      </w:pPr>
    </w:lvl>
    <w:lvl w:ilvl="3" w:tentative="0">
      <w:start w:val="1"/>
      <w:numFmt w:val="decimal"/>
      <w:lvlText w:val="%4."/>
      <w:lvlJc w:val="left"/>
      <w:pPr>
        <w:ind w:left="3364" w:hanging="420"/>
      </w:pPr>
    </w:lvl>
    <w:lvl w:ilvl="4" w:tentative="0">
      <w:start w:val="1"/>
      <w:numFmt w:val="lowerLetter"/>
      <w:lvlText w:val="%5)"/>
      <w:lvlJc w:val="left"/>
      <w:pPr>
        <w:ind w:left="3784" w:hanging="420"/>
      </w:pPr>
    </w:lvl>
    <w:lvl w:ilvl="5" w:tentative="0">
      <w:start w:val="1"/>
      <w:numFmt w:val="lowerRoman"/>
      <w:lvlText w:val="%6."/>
      <w:lvlJc w:val="right"/>
      <w:pPr>
        <w:ind w:left="4204" w:hanging="420"/>
      </w:pPr>
    </w:lvl>
    <w:lvl w:ilvl="6" w:tentative="0">
      <w:start w:val="1"/>
      <w:numFmt w:val="decimal"/>
      <w:lvlText w:val="%7."/>
      <w:lvlJc w:val="left"/>
      <w:pPr>
        <w:ind w:left="4624" w:hanging="420"/>
      </w:pPr>
    </w:lvl>
    <w:lvl w:ilvl="7" w:tentative="0">
      <w:start w:val="1"/>
      <w:numFmt w:val="lowerLetter"/>
      <w:lvlText w:val="%8)"/>
      <w:lvlJc w:val="left"/>
      <w:pPr>
        <w:ind w:left="5044" w:hanging="420"/>
      </w:pPr>
    </w:lvl>
    <w:lvl w:ilvl="8" w:tentative="0">
      <w:start w:val="1"/>
      <w:numFmt w:val="lowerRoman"/>
      <w:lvlText w:val="%9."/>
      <w:lvlJc w:val="right"/>
      <w:pPr>
        <w:ind w:left="5464" w:hanging="420"/>
      </w:pPr>
    </w:lvl>
  </w:abstractNum>
  <w:abstractNum w:abstractNumId="10">
    <w:nsid w:val="5F3652B8"/>
    <w:multiLevelType w:val="singleLevel"/>
    <w:tmpl w:val="5F3652B8"/>
    <w:lvl w:ilvl="0" w:tentative="0">
      <w:start w:val="1"/>
      <w:numFmt w:val="decimal"/>
      <w:lvlText w:val="（%1）"/>
      <w:lvlJc w:val="left"/>
      <w:pPr>
        <w:ind w:left="420" w:hanging="420"/>
      </w:pPr>
    </w:lvl>
  </w:abstractNum>
  <w:abstractNum w:abstractNumId="11">
    <w:nsid w:val="7D2D750A"/>
    <w:multiLevelType w:val="multilevel"/>
    <w:tmpl w:val="7D2D750A"/>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decimal"/>
      <w:lvlText w:val="（%4）"/>
      <w:lvlJc w:val="left"/>
      <w:pPr>
        <w:ind w:left="2104" w:hanging="420"/>
      </w:pPr>
      <w:rPr>
        <w:rFonts w:hint="default"/>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num w:numId="1">
    <w:abstractNumId w:val="3"/>
  </w:num>
  <w:num w:numId="2">
    <w:abstractNumId w:val="4"/>
  </w:num>
  <w:num w:numId="3">
    <w:abstractNumId w:val="10"/>
  </w:num>
  <w:num w:numId="4">
    <w:abstractNumId w:val="5"/>
  </w:num>
  <w:num w:numId="5">
    <w:abstractNumId w:val="6"/>
  </w:num>
  <w:num w:numId="6">
    <w:abstractNumId w:val="7"/>
  </w:num>
  <w:num w:numId="7">
    <w:abstractNumId w:val="8"/>
  </w:num>
  <w:num w:numId="8">
    <w:abstractNumId w:val="0"/>
  </w:num>
  <w:num w:numId="9">
    <w:abstractNumId w:val="2"/>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NDcwMGE2OWRkYWMyODJmODEyMjNkZDA3YjcyYmQifQ=="/>
  </w:docVars>
  <w:rsids>
    <w:rsidRoot w:val="78993B6A"/>
    <w:rsid w:val="22394F6A"/>
    <w:rsid w:val="27625FA6"/>
    <w:rsid w:val="3B2A3980"/>
    <w:rsid w:val="429E2F08"/>
    <w:rsid w:val="4A2A69C1"/>
    <w:rsid w:val="65734535"/>
    <w:rsid w:val="7899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60" w:lineRule="auto"/>
    </w:pPr>
    <w:rPr>
      <w:rFonts w:ascii="宋体" w:hAnsi="宋体" w:eastAsia="宋体" w:cs="Times New Roman"/>
      <w:sz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0" w:firstLineChars="0"/>
    </w:pPr>
    <w:rPr>
      <w:rFonts w:ascii="Times New Roman" w:hAnsi="Times New Roman" w:eastAsia="宋体"/>
    </w:rPr>
  </w:style>
  <w:style w:type="paragraph" w:styleId="3">
    <w:name w:val="Body Text"/>
    <w:basedOn w:val="1"/>
    <w:qFormat/>
    <w:uiPriority w:val="0"/>
    <w:pPr>
      <w:spacing w:line="360" w:lineRule="auto"/>
      <w:ind w:firstLine="643" w:firstLineChars="200"/>
    </w:pPr>
    <w:rPr>
      <w:rFonts w:ascii="宋体" w:hAnsi="宋体" w:eastAsia="宋体" w:cs="宋体"/>
      <w:bCs/>
      <w:color w:val="000000"/>
      <w:kern w:val="0"/>
      <w:sz w:val="21"/>
      <w:szCs w:val="21"/>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rPr>
      <w:rFonts w:ascii="Calibri" w:hAnsi="Calibri" w:eastAsia="宋体" w:cs="Times New Roman"/>
      <w:szCs w:val="24"/>
    </w:rPr>
  </w:style>
  <w:style w:type="character" w:customStyle="1" w:styleId="8">
    <w:name w:val="apple-style-span"/>
    <w:basedOn w:val="6"/>
    <w:qFormat/>
    <w:uiPriority w:val="0"/>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7436</Words>
  <Characters>7493</Characters>
  <Lines>0</Lines>
  <Paragraphs>0</Paragraphs>
  <TotalTime>1</TotalTime>
  <ScaleCrop>false</ScaleCrop>
  <LinksUpToDate>false</LinksUpToDate>
  <CharactersWithSpaces>7499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2021-02-23T10:00:00Z</dcterms:created>
  <dc:creator>xmzhangq</dc:creator>
  <cp:lastModifiedBy>江来</cp:lastModifiedBy>
  <cp:lastPrinted>2021-03-26T01:03:00Z</cp:lastPrinted>
  <dcterms:modified xsi:type="dcterms:W3CDTF">2022-10-18T02:10:31Z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614910211AC044D4A0F6079443A3B19D</vt:lpwstr>
  </property>
</Properties>
</file>